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04"/>
      </w:tblGrid>
      <w:tr w:rsidR="00125021" w:rsidRPr="00125021" w:rsidTr="00125021">
        <w:trPr>
          <w:trHeight w:val="3015"/>
        </w:trPr>
        <w:tc>
          <w:tcPr>
            <w:tcW w:w="4725" w:type="dxa"/>
          </w:tcPr>
          <w:p w:rsidR="00125021" w:rsidRDefault="00125021" w:rsidP="00125021">
            <w:pPr>
              <w:pStyle w:val="ConsPlusNormal1"/>
            </w:pPr>
          </w:p>
        </w:tc>
        <w:tc>
          <w:tcPr>
            <w:tcW w:w="4804" w:type="dxa"/>
          </w:tcPr>
          <w:p w:rsidR="00125021" w:rsidRPr="00125021" w:rsidRDefault="00125021" w:rsidP="00125021">
            <w:pPr>
              <w:pStyle w:val="ConsPlusNormal1"/>
              <w:ind w:firstLineChars="400" w:firstLine="960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>УТВЕРЖДЕН</w:t>
            </w:r>
          </w:p>
          <w:p w:rsidR="00125021" w:rsidRPr="00125021" w:rsidRDefault="00125021" w:rsidP="00125021">
            <w:pPr>
              <w:pStyle w:val="ConsPlusNormal1"/>
              <w:rPr>
                <w:szCs w:val="28"/>
              </w:rPr>
            </w:pPr>
          </w:p>
          <w:p w:rsidR="00125021" w:rsidRPr="00125021" w:rsidRDefault="00DE2D3C" w:rsidP="00125021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125021" w:rsidRPr="00125021">
              <w:rPr>
                <w:szCs w:val="28"/>
              </w:rPr>
              <w:t xml:space="preserve">остановлением Администрации    </w:t>
            </w:r>
          </w:p>
          <w:p w:rsidR="00125021" w:rsidRPr="00125021" w:rsidRDefault="00DE2D3C" w:rsidP="00125021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25021" w:rsidRPr="00125021">
              <w:rPr>
                <w:szCs w:val="28"/>
              </w:rPr>
              <w:t>ородского округа Домодедово</w:t>
            </w:r>
          </w:p>
          <w:p w:rsidR="00125021" w:rsidRPr="00125021" w:rsidRDefault="00125021" w:rsidP="00125021">
            <w:pPr>
              <w:pStyle w:val="ConsPlusNormal1"/>
              <w:jc w:val="right"/>
              <w:rPr>
                <w:szCs w:val="28"/>
              </w:rPr>
            </w:pPr>
            <w:r w:rsidRPr="00125021">
              <w:rPr>
                <w:szCs w:val="28"/>
              </w:rPr>
              <w:t xml:space="preserve">Московской области </w:t>
            </w:r>
          </w:p>
          <w:p w:rsidR="00125021" w:rsidRPr="00125021" w:rsidRDefault="00125021" w:rsidP="00125021">
            <w:pPr>
              <w:pStyle w:val="ConsPlusNormal1"/>
              <w:rPr>
                <w:szCs w:val="28"/>
              </w:rPr>
            </w:pPr>
          </w:p>
          <w:p w:rsidR="00125021" w:rsidRPr="00125021" w:rsidRDefault="004C0B1B" w:rsidP="00125021">
            <w:pPr>
              <w:pStyle w:val="ConsPlusNormal1"/>
              <w:jc w:val="right"/>
              <w:rPr>
                <w:szCs w:val="28"/>
              </w:rPr>
            </w:pPr>
            <w:r>
              <w:rPr>
                <w:szCs w:val="28"/>
              </w:rPr>
              <w:t>от «13» 01.202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 г. №  23</w:t>
            </w:r>
            <w:bookmarkStart w:id="0" w:name="_GoBack"/>
            <w:bookmarkEnd w:id="0"/>
          </w:p>
          <w:p w:rsidR="00125021" w:rsidRPr="00125021" w:rsidRDefault="00125021" w:rsidP="00125021">
            <w:pPr>
              <w:pStyle w:val="ConsPlusNormal1"/>
              <w:rPr>
                <w:szCs w:val="28"/>
              </w:rPr>
            </w:pPr>
          </w:p>
          <w:p w:rsidR="00125021" w:rsidRPr="00125021" w:rsidRDefault="00125021" w:rsidP="00125021">
            <w:pPr>
              <w:pStyle w:val="ConsPlusNormal1"/>
              <w:rPr>
                <w:szCs w:val="28"/>
              </w:rPr>
            </w:pPr>
          </w:p>
        </w:tc>
      </w:tr>
    </w:tbl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125021" w:rsidRDefault="00125021">
      <w:pPr>
        <w:pStyle w:val="ConsPlusNormal1"/>
        <w:jc w:val="both"/>
      </w:pPr>
    </w:p>
    <w:p w:rsidR="00125021" w:rsidRDefault="00125021">
      <w:pPr>
        <w:pStyle w:val="ConsPlusNormal1"/>
        <w:jc w:val="both"/>
      </w:pPr>
    </w:p>
    <w:p w:rsidR="00125021" w:rsidRDefault="00125021">
      <w:pPr>
        <w:pStyle w:val="ConsPlusNormal1"/>
        <w:jc w:val="both"/>
      </w:pPr>
    </w:p>
    <w:p w:rsidR="00125021" w:rsidRDefault="00125021">
      <w:pPr>
        <w:pStyle w:val="ConsPlusNormal1"/>
        <w:jc w:val="both"/>
      </w:pPr>
    </w:p>
    <w:p w:rsidR="00125021" w:rsidRDefault="00125021">
      <w:pPr>
        <w:pStyle w:val="ConsPlusNormal1"/>
        <w:jc w:val="both"/>
      </w:pPr>
    </w:p>
    <w:p w:rsidR="005B12E9" w:rsidRDefault="009F10A2">
      <w:pPr>
        <w:pStyle w:val="ConsPlusNormal1"/>
        <w:jc w:val="center"/>
        <w:outlineLvl w:val="1"/>
      </w:pPr>
      <w:r>
        <w:t>ТИТУЛЬНЫЙ СПИСОК</w:t>
      </w:r>
    </w:p>
    <w:p w:rsidR="005B12E9" w:rsidRDefault="009F10A2">
      <w:pPr>
        <w:pStyle w:val="ConsPlusNormal"/>
        <w:jc w:val="center"/>
        <w:rPr>
          <w:szCs w:val="24"/>
        </w:rPr>
      </w:pPr>
      <w:r>
        <w:rPr>
          <w:szCs w:val="24"/>
        </w:rPr>
        <w:t>общественной территории МАУК «ГПКиО Домодедово»,</w:t>
      </w:r>
    </w:p>
    <w:p w:rsidR="005B12E9" w:rsidRDefault="00F20709">
      <w:pPr>
        <w:pStyle w:val="ConsPlusNormal"/>
        <w:jc w:val="center"/>
        <w:rPr>
          <w:szCs w:val="24"/>
        </w:rPr>
      </w:pPr>
      <w:r>
        <w:rPr>
          <w:szCs w:val="24"/>
        </w:rPr>
        <w:t>структурно</w:t>
      </w:r>
      <w:r w:rsidR="006F719B">
        <w:rPr>
          <w:szCs w:val="24"/>
        </w:rPr>
        <w:t>го</w:t>
      </w:r>
      <w:r w:rsidR="009F10A2">
        <w:rPr>
          <w:szCs w:val="24"/>
        </w:rPr>
        <w:t xml:space="preserve"> подразделени</w:t>
      </w:r>
      <w:r w:rsidR="006F719B">
        <w:rPr>
          <w:szCs w:val="24"/>
        </w:rPr>
        <w:t>я</w:t>
      </w:r>
      <w:r w:rsidR="009F10A2">
        <w:rPr>
          <w:szCs w:val="24"/>
        </w:rPr>
        <w:t xml:space="preserve"> </w:t>
      </w:r>
      <w:r>
        <w:rPr>
          <w:szCs w:val="24"/>
        </w:rPr>
        <w:t xml:space="preserve">«парк </w:t>
      </w:r>
      <w:r w:rsidR="009F10A2">
        <w:rPr>
          <w:szCs w:val="24"/>
        </w:rPr>
        <w:t>Взл</w:t>
      </w:r>
      <w:r w:rsidR="00125021">
        <w:rPr>
          <w:szCs w:val="24"/>
        </w:rPr>
        <w:t>ё</w:t>
      </w:r>
      <w:r w:rsidR="009F10A2">
        <w:rPr>
          <w:szCs w:val="24"/>
        </w:rPr>
        <w:t>т»,</w:t>
      </w:r>
    </w:p>
    <w:p w:rsidR="005B12E9" w:rsidRDefault="00F20709" w:rsidP="00F20709">
      <w:pPr>
        <w:pStyle w:val="ConsPlusNormal"/>
        <w:jc w:val="center"/>
        <w:rPr>
          <w:szCs w:val="24"/>
        </w:rPr>
      </w:pPr>
      <w:r>
        <w:rPr>
          <w:szCs w:val="24"/>
        </w:rPr>
        <w:t>расположенно</w:t>
      </w:r>
      <w:r w:rsidR="006F719B">
        <w:rPr>
          <w:szCs w:val="24"/>
        </w:rPr>
        <w:t>го</w:t>
      </w:r>
      <w:r>
        <w:rPr>
          <w:szCs w:val="24"/>
        </w:rPr>
        <w:t xml:space="preserve"> </w:t>
      </w:r>
      <w:r w:rsidR="009F10A2">
        <w:rPr>
          <w:szCs w:val="24"/>
        </w:rPr>
        <w:t>по адресу: Московская</w:t>
      </w:r>
      <w:r w:rsidR="009F10A2">
        <w:rPr>
          <w:spacing w:val="40"/>
          <w:szCs w:val="24"/>
        </w:rPr>
        <w:t xml:space="preserve"> </w:t>
      </w:r>
      <w:r w:rsidR="009F10A2">
        <w:rPr>
          <w:szCs w:val="24"/>
        </w:rPr>
        <w:t>область, г. Домодедово, мкр. Авиационный</w:t>
      </w:r>
    </w:p>
    <w:p w:rsidR="005B12E9" w:rsidRDefault="005B12E9">
      <w:pPr>
        <w:pStyle w:val="ConsPlusNormal"/>
        <w:jc w:val="center"/>
        <w:rPr>
          <w:szCs w:val="24"/>
        </w:rPr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5B12E9">
        <w:tc>
          <w:tcPr>
            <w:tcW w:w="3230" w:type="dxa"/>
            <w:vAlign w:val="center"/>
          </w:tcPr>
          <w:p w:rsidR="005B12E9" w:rsidRDefault="009F10A2">
            <w:pPr>
              <w:pStyle w:val="ConsPlusNormal1"/>
              <w:jc w:val="center"/>
            </w:pPr>
            <w:r>
              <w:t>Номер ID &lt;1.2&gt;</w:t>
            </w:r>
          </w:p>
        </w:tc>
        <w:tc>
          <w:tcPr>
            <w:tcW w:w="3231" w:type="dxa"/>
            <w:vAlign w:val="center"/>
          </w:tcPr>
          <w:p w:rsidR="005B12E9" w:rsidRDefault="009F10A2">
            <w:pPr>
              <w:pStyle w:val="ConsPlusNormal1"/>
              <w:jc w:val="center"/>
            </w:pPr>
            <w:r>
              <w:t>Номер ID СНО &lt;1.3&gt;</w:t>
            </w:r>
          </w:p>
        </w:tc>
      </w:tr>
      <w:tr w:rsidR="005B12E9">
        <w:tc>
          <w:tcPr>
            <w:tcW w:w="3230" w:type="dxa"/>
            <w:vAlign w:val="center"/>
          </w:tcPr>
          <w:p w:rsidR="005B12E9" w:rsidRDefault="009F10A2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5B12E9" w:rsidRDefault="009F10A2">
            <w:pPr>
              <w:pStyle w:val="ConsPlusNormal1"/>
              <w:jc w:val="center"/>
            </w:pPr>
            <w:r>
              <w:t>2</w:t>
            </w:r>
          </w:p>
        </w:tc>
      </w:tr>
      <w:tr w:rsidR="005B12E9">
        <w:tc>
          <w:tcPr>
            <w:tcW w:w="3230" w:type="dxa"/>
            <w:vAlign w:val="bottom"/>
          </w:tcPr>
          <w:p w:rsidR="005B12E9" w:rsidRDefault="009F10A2">
            <w:pPr>
              <w:pStyle w:val="ConsPlusNormal1"/>
              <w:jc w:val="center"/>
            </w:pPr>
            <w:r>
              <w:t>5525060091</w:t>
            </w:r>
          </w:p>
        </w:tc>
        <w:tc>
          <w:tcPr>
            <w:tcW w:w="3231" w:type="dxa"/>
            <w:vAlign w:val="center"/>
          </w:tcPr>
          <w:p w:rsidR="005B12E9" w:rsidRDefault="005B12E9">
            <w:pPr>
              <w:pStyle w:val="ConsPlusNormal1"/>
              <w:jc w:val="center"/>
            </w:pPr>
          </w:p>
        </w:tc>
      </w:tr>
    </w:tbl>
    <w:p w:rsidR="005B12E9" w:rsidRDefault="005B12E9">
      <w:pPr>
        <w:pStyle w:val="ConsPlusNormal1"/>
        <w:jc w:val="both"/>
      </w:pPr>
    </w:p>
    <w:p w:rsidR="005B12E9" w:rsidRDefault="005B12E9">
      <w:pPr>
        <w:pStyle w:val="ConsPlusNormal1"/>
        <w:sectPr w:rsidR="005B12E9"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170" w:footer="397" w:gutter="0"/>
          <w:pgNumType w:fmt="numberInDash"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788"/>
        <w:gridCol w:w="1584"/>
        <w:gridCol w:w="1536"/>
        <w:gridCol w:w="1740"/>
        <w:gridCol w:w="1500"/>
        <w:gridCol w:w="1404"/>
        <w:gridCol w:w="1308"/>
        <w:gridCol w:w="1416"/>
        <w:gridCol w:w="1440"/>
      </w:tblGrid>
      <w:tr w:rsidR="005B12E9">
        <w:tc>
          <w:tcPr>
            <w:tcW w:w="2438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lastRenderedPageBreak/>
              <w:t>Уборочная площадь &lt;1&gt; на ОТ &lt;11.1&gt; (всего,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6648" w:type="dxa"/>
            <w:gridSpan w:val="4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Уборочная площадь &lt;1&gt; (м</w:t>
            </w:r>
            <w:r>
              <w:rPr>
                <w:vertAlign w:val="superscript"/>
              </w:rPr>
              <w:t>2</w:t>
            </w:r>
            <w:r>
              <w:t>) на ОТ &lt;11.1&gt; содержится</w:t>
            </w:r>
          </w:p>
        </w:tc>
        <w:tc>
          <w:tcPr>
            <w:tcW w:w="7068" w:type="dxa"/>
            <w:gridSpan w:val="5"/>
          </w:tcPr>
          <w:p w:rsidR="005B12E9" w:rsidRDefault="009F10A2">
            <w:pPr>
              <w:pStyle w:val="ConsPlusNormal1"/>
              <w:jc w:val="center"/>
            </w:pPr>
            <w:r>
              <w:t>Уровень обеспеченности освещением ОТ &lt;11.1&gt;</w:t>
            </w:r>
          </w:p>
        </w:tc>
      </w:tr>
      <w:tr w:rsidR="005B12E9">
        <w:tc>
          <w:tcPr>
            <w:tcW w:w="2438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6648" w:type="dxa"/>
            <w:gridSpan w:val="4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500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Доля освещенных объектов &lt;11&gt; (%)</w:t>
            </w:r>
          </w:p>
        </w:tc>
        <w:tc>
          <w:tcPr>
            <w:tcW w:w="2712" w:type="dxa"/>
            <w:gridSpan w:val="2"/>
          </w:tcPr>
          <w:p w:rsidR="005B12E9" w:rsidRDefault="009F10A2">
            <w:pPr>
              <w:pStyle w:val="ConsPlusNormal1"/>
              <w:jc w:val="center"/>
            </w:pPr>
            <w:r>
              <w:t>Количество освещенных объектов &lt;9&gt; (шт.)</w:t>
            </w:r>
          </w:p>
        </w:tc>
        <w:tc>
          <w:tcPr>
            <w:tcW w:w="2856" w:type="dxa"/>
            <w:gridSpan w:val="2"/>
          </w:tcPr>
          <w:p w:rsidR="005B12E9" w:rsidRDefault="009F10A2">
            <w:pPr>
              <w:pStyle w:val="ConsPlusNormal1"/>
              <w:jc w:val="center"/>
            </w:pPr>
            <w:r>
              <w:t>Количество не освещенных объектов &lt;10&gt; (шт.)</w:t>
            </w:r>
          </w:p>
        </w:tc>
      </w:tr>
      <w:tr w:rsidR="005B12E9">
        <w:tc>
          <w:tcPr>
            <w:tcW w:w="2438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3372" w:type="dxa"/>
            <w:gridSpan w:val="2"/>
          </w:tcPr>
          <w:p w:rsidR="005B12E9" w:rsidRDefault="009F10A2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3276" w:type="dxa"/>
            <w:gridSpan w:val="2"/>
          </w:tcPr>
          <w:p w:rsidR="005B12E9" w:rsidRDefault="009F10A2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500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404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308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Иными лицами &lt;3&gt;</w:t>
            </w:r>
          </w:p>
        </w:tc>
        <w:tc>
          <w:tcPr>
            <w:tcW w:w="1416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ОМСУ, МБУ, МКУ &lt;2&gt;</w:t>
            </w:r>
          </w:p>
        </w:tc>
        <w:tc>
          <w:tcPr>
            <w:tcW w:w="1440" w:type="dxa"/>
            <w:vMerge w:val="restart"/>
          </w:tcPr>
          <w:p w:rsidR="005B12E9" w:rsidRDefault="009F10A2">
            <w:pPr>
              <w:pStyle w:val="ConsPlusNormal1"/>
              <w:jc w:val="center"/>
            </w:pPr>
            <w:r>
              <w:t>Иными лицами &lt;3&gt;</w:t>
            </w:r>
          </w:p>
        </w:tc>
      </w:tr>
      <w:tr w:rsidR="005B12E9">
        <w:tc>
          <w:tcPr>
            <w:tcW w:w="2438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788" w:type="dxa"/>
          </w:tcPr>
          <w:p w:rsidR="005B12E9" w:rsidRDefault="009F10A2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584" w:type="dxa"/>
          </w:tcPr>
          <w:p w:rsidR="005B12E9" w:rsidRDefault="009F10A2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36" w:type="dxa"/>
          </w:tcPr>
          <w:p w:rsidR="005B12E9" w:rsidRDefault="009F10A2">
            <w:pPr>
              <w:pStyle w:val="ConsPlusNormal1"/>
              <w:jc w:val="center"/>
            </w:pPr>
            <w:r>
              <w:t>Площадь механизированной уборки</w:t>
            </w:r>
          </w:p>
        </w:tc>
        <w:tc>
          <w:tcPr>
            <w:tcW w:w="1740" w:type="dxa"/>
          </w:tcPr>
          <w:p w:rsidR="005B12E9" w:rsidRDefault="009F10A2">
            <w:pPr>
              <w:pStyle w:val="ConsPlusNormal1"/>
              <w:jc w:val="center"/>
            </w:pPr>
            <w:r>
              <w:t>Площадь ручной уборки</w:t>
            </w:r>
          </w:p>
        </w:tc>
        <w:tc>
          <w:tcPr>
            <w:tcW w:w="1500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404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308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416" w:type="dxa"/>
            <w:vMerge/>
          </w:tcPr>
          <w:p w:rsidR="005B12E9" w:rsidRDefault="005B12E9">
            <w:pPr>
              <w:pStyle w:val="ConsPlusNormal1"/>
            </w:pPr>
          </w:p>
        </w:tc>
        <w:tc>
          <w:tcPr>
            <w:tcW w:w="1440" w:type="dxa"/>
            <w:vMerge/>
          </w:tcPr>
          <w:p w:rsidR="005B12E9" w:rsidRDefault="005B12E9">
            <w:pPr>
              <w:pStyle w:val="ConsPlusNormal1"/>
            </w:pPr>
          </w:p>
        </w:tc>
      </w:tr>
      <w:tr w:rsidR="005B12E9">
        <w:tc>
          <w:tcPr>
            <w:tcW w:w="2438" w:type="dxa"/>
          </w:tcPr>
          <w:p w:rsidR="005B12E9" w:rsidRDefault="009F10A2">
            <w:pPr>
              <w:pStyle w:val="ConsPlusNormal1"/>
              <w:jc w:val="center"/>
            </w:pPr>
            <w:r>
              <w:t>3</w:t>
            </w:r>
          </w:p>
        </w:tc>
        <w:tc>
          <w:tcPr>
            <w:tcW w:w="1788" w:type="dxa"/>
          </w:tcPr>
          <w:p w:rsidR="005B12E9" w:rsidRDefault="009F10A2">
            <w:pPr>
              <w:pStyle w:val="ConsPlusNormal1"/>
              <w:jc w:val="center"/>
            </w:pPr>
            <w:r>
              <w:t>4</w:t>
            </w:r>
          </w:p>
        </w:tc>
        <w:tc>
          <w:tcPr>
            <w:tcW w:w="1584" w:type="dxa"/>
          </w:tcPr>
          <w:p w:rsidR="005B12E9" w:rsidRDefault="009F10A2">
            <w:pPr>
              <w:pStyle w:val="ConsPlusNormal1"/>
              <w:jc w:val="center"/>
            </w:pPr>
            <w:r>
              <w:t>5</w:t>
            </w:r>
          </w:p>
        </w:tc>
        <w:tc>
          <w:tcPr>
            <w:tcW w:w="1536" w:type="dxa"/>
          </w:tcPr>
          <w:p w:rsidR="005B12E9" w:rsidRDefault="009F10A2">
            <w:pPr>
              <w:pStyle w:val="ConsPlusNormal1"/>
              <w:jc w:val="center"/>
            </w:pPr>
            <w:r>
              <w:t>6</w:t>
            </w:r>
          </w:p>
        </w:tc>
        <w:tc>
          <w:tcPr>
            <w:tcW w:w="1740" w:type="dxa"/>
          </w:tcPr>
          <w:p w:rsidR="005B12E9" w:rsidRDefault="009F10A2">
            <w:pPr>
              <w:pStyle w:val="ConsPlusNormal1"/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5B12E9" w:rsidRDefault="009F10A2">
            <w:pPr>
              <w:pStyle w:val="ConsPlusNormal1"/>
              <w:jc w:val="center"/>
            </w:pPr>
            <w:r>
              <w:t>8</w:t>
            </w:r>
          </w:p>
        </w:tc>
        <w:tc>
          <w:tcPr>
            <w:tcW w:w="1404" w:type="dxa"/>
          </w:tcPr>
          <w:p w:rsidR="005B12E9" w:rsidRDefault="009F10A2">
            <w:pPr>
              <w:pStyle w:val="ConsPlusNormal1"/>
              <w:jc w:val="center"/>
            </w:pPr>
            <w:r>
              <w:t>9</w:t>
            </w:r>
          </w:p>
        </w:tc>
        <w:tc>
          <w:tcPr>
            <w:tcW w:w="1308" w:type="dxa"/>
          </w:tcPr>
          <w:p w:rsidR="005B12E9" w:rsidRDefault="009F10A2">
            <w:pPr>
              <w:pStyle w:val="ConsPlusNormal1"/>
              <w:jc w:val="center"/>
            </w:pPr>
            <w:r>
              <w:t>10</w:t>
            </w:r>
          </w:p>
        </w:tc>
        <w:tc>
          <w:tcPr>
            <w:tcW w:w="1416" w:type="dxa"/>
          </w:tcPr>
          <w:p w:rsidR="005B12E9" w:rsidRDefault="009F10A2">
            <w:pPr>
              <w:pStyle w:val="ConsPlusNormal1"/>
              <w:jc w:val="center"/>
            </w:pPr>
            <w:r>
              <w:t>11</w:t>
            </w:r>
          </w:p>
        </w:tc>
        <w:tc>
          <w:tcPr>
            <w:tcW w:w="1440" w:type="dxa"/>
          </w:tcPr>
          <w:p w:rsidR="005B12E9" w:rsidRDefault="009F10A2">
            <w:pPr>
              <w:pStyle w:val="ConsPlusNormal1"/>
              <w:jc w:val="center"/>
            </w:pPr>
            <w:r>
              <w:t>12</w:t>
            </w:r>
          </w:p>
        </w:tc>
      </w:tr>
      <w:tr w:rsidR="005B12E9">
        <w:tc>
          <w:tcPr>
            <w:tcW w:w="2438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239 235,00</w:t>
            </w:r>
          </w:p>
        </w:tc>
        <w:tc>
          <w:tcPr>
            <w:tcW w:w="1788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13 777,00</w:t>
            </w:r>
          </w:p>
        </w:tc>
        <w:tc>
          <w:tcPr>
            <w:tcW w:w="1584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223 245,00</w:t>
            </w:r>
          </w:p>
        </w:tc>
        <w:tc>
          <w:tcPr>
            <w:tcW w:w="1536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40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2 213,00</w:t>
            </w:r>
          </w:p>
        </w:tc>
        <w:tc>
          <w:tcPr>
            <w:tcW w:w="1500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04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308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B12E9">
        <w:trPr>
          <w:trHeight w:val="299"/>
        </w:trPr>
        <w:tc>
          <w:tcPr>
            <w:tcW w:w="2438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788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584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536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740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500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404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308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416" w:type="dxa"/>
          </w:tcPr>
          <w:p w:rsidR="005B12E9" w:rsidRDefault="005B12E9">
            <w:pPr>
              <w:pStyle w:val="ConsPlusNormal1"/>
              <w:jc w:val="center"/>
            </w:pPr>
          </w:p>
        </w:tc>
        <w:tc>
          <w:tcPr>
            <w:tcW w:w="1440" w:type="dxa"/>
          </w:tcPr>
          <w:p w:rsidR="005B12E9" w:rsidRDefault="005B12E9">
            <w:pPr>
              <w:pStyle w:val="ConsPlusNormal1"/>
              <w:jc w:val="center"/>
            </w:pPr>
          </w:p>
        </w:tc>
      </w:tr>
    </w:tbl>
    <w:p w:rsidR="005B12E9" w:rsidRDefault="005B12E9">
      <w:pPr>
        <w:pStyle w:val="ConsPlusNormal1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8"/>
        <w:gridCol w:w="3474"/>
        <w:gridCol w:w="620"/>
        <w:gridCol w:w="955"/>
        <w:gridCol w:w="939"/>
        <w:gridCol w:w="873"/>
        <w:gridCol w:w="543"/>
        <w:gridCol w:w="1520"/>
        <w:gridCol w:w="1177"/>
        <w:gridCol w:w="1490"/>
        <w:gridCol w:w="1131"/>
        <w:gridCol w:w="1143"/>
        <w:gridCol w:w="1311"/>
      </w:tblGrid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Наименование объектов общественного пользования &lt;6.1&gt; на ОТ &lt;11.1&gt;</w:t>
            </w:r>
          </w:p>
        </w:tc>
        <w:tc>
          <w:tcPr>
            <w:tcW w:w="3414" w:type="dxa"/>
            <w:gridSpan w:val="4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объектов общественного пользования &lt;6.1&gt; на ОТ &lt;11.1&gt;</w:t>
            </w:r>
          </w:p>
        </w:tc>
        <w:tc>
          <w:tcPr>
            <w:tcW w:w="7062" w:type="dxa"/>
            <w:gridSpan w:val="6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&lt;7&gt; объектов общественного пользования &lt;6.1&gt; на ОТ &lt;11.1&gt;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Информация о наличии освещения (кол-во освещенных объектов &lt;9&gt; (шт.)/ кол-во не освещенных объектов &lt;10&gt; (шт.) не освещенных объектов (шт.)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Кол-во (всего)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содержится: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Ед. изм.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&lt;1&gt; (всего)</w:t>
            </w:r>
          </w:p>
        </w:tc>
        <w:tc>
          <w:tcPr>
            <w:tcW w:w="4982" w:type="dxa"/>
            <w:gridSpan w:val="4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Уборочная площадь &lt;1&gt; содержится:</w:t>
            </w: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947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ОМСУ, МБУ, МКУ &lt;2&gt;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Иными лицами &lt;3&gt;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ОМСУ, МБУ, МКУ &lt;2&gt;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Иными лицами &lt;3&gt;</w:t>
            </w: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</w:tr>
      <w:tr w:rsidR="005B12E9">
        <w:trPr>
          <w:trHeight w:val="90"/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механизированной уборки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ручной уборки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механизированной уборки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jc w:val="center"/>
              <w:rPr>
                <w:szCs w:val="24"/>
              </w:rPr>
            </w:pPr>
            <w:r>
              <w:rPr>
                <w:szCs w:val="24"/>
              </w:rPr>
              <w:t>Площадь ручной уборки</w:t>
            </w: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pStyle w:val="ConsPlusNormal1"/>
              <w:rPr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bookmarkStart w:id="1" w:name="P5069"/>
            <w:bookmarkEnd w:id="1"/>
            <w:r>
              <w:rPr>
                <w:szCs w:val="24"/>
              </w:rPr>
              <w:t>14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5B12E9">
        <w:trPr>
          <w:trHeight w:val="90"/>
          <w:jc w:val="center"/>
        </w:trPr>
        <w:tc>
          <w:tcPr>
            <w:tcW w:w="864" w:type="dxa"/>
            <w:shd w:val="clear" w:color="auto" w:fill="auto"/>
          </w:tcPr>
          <w:p w:rsidR="005B12E9" w:rsidRDefault="005B12E9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20" w:type="dxa"/>
            <w:gridSpan w:val="5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&lt;1.1&gt; (всего),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.: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239 235,00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13 777,00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223 245,00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2 213,00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rPr>
                <w:szCs w:val="24"/>
              </w:rPr>
              <w:t>31шт./0 шт.</w:t>
            </w:r>
          </w:p>
        </w:tc>
      </w:tr>
      <w:tr w:rsidR="005B12E9">
        <w:trPr>
          <w:trHeight w:val="537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09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 &lt;12&gt;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 xml:space="preserve">ДИП &lt;12&gt; с резиновым покрытием &lt;13&gt;,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1.1.1.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1.2.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1082"/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1.3.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978"/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1.4.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1.5.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гравийным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1.6.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 xml:space="preserve">ДИП &lt;12&gt; с комбинированным </w:t>
            </w:r>
            <w:r>
              <w:lastRenderedPageBreak/>
              <w:t>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lastRenderedPageBreak/>
              <w:t>1.7.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ДИП &lt;12&gt;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1.8.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 xml:space="preserve">Игровое оборудование на ДИП &lt;19&gt;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1.8.1.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Игровое оборудование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1.8.2.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Игровое оборудование 3-7 лет &lt;13&gt;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1.8.3.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Игровое оборудование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1.8.4.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pStyle w:val="ConsPlusNormal1"/>
              <w:shd w:val="clear" w:color="auto" w:fill="FFFFFF" w:themeFill="background1"/>
            </w:pPr>
            <w:r>
              <w:t>Песочницы &lt;20&gt; (всего)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Веревочные &lt;46&gt; парки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веревочных парков &lt;46.1&gt;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веревочных парков &lt;46.1&gt;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&lt;47&gt;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&lt;47.1&gt;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&lt;47.1&gt;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аттракционов &lt;48&gt;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Веревочные парки &lt;48&gt;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аттракционов &lt;48&gt; с иным твердым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Аттракционы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Аттракционы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площадки &lt;21&gt;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1 784,00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1 784,00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площадки &lt;21&gt; с резиновым покрытием &lt;13&gt;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искусственным газоном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площадки &lt;21&gt;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оборудование &lt;22&gt;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 &lt;22&gt;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Хоккейные площадки &lt;23&gt;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Сборно-разборные хоккейные площадки &lt;23.1&gt;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хоккейные площадки &lt;23.2&gt;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ледяные катки &lt;54&gt;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ледяные горки &lt;55&gt;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Скейтпарки &lt;56&gt;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Велотреки (велодромы) &lt;57&gt;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Роллердромы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&lt;58&gt;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&lt;59&gt;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отдыха &lt;24&gt;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отдыха &lt;24&gt;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Пикниковые площадки (зоны)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Пикниковые площадки (зоны) с мангалами (очагами)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Пляжи в составе ОТ &lt;11.5&gt;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2 403,00м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2шт./0 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комбинированным или иным мягким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Пляжи в составе ОТ &lt;11.5&gt;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Пляжное оборудование &lt;68&gt;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Кабинки для переодевания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Душевые кабинки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Шезлонги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пляжное оборудование &lt;68&gt;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культурно-массовых мероприятий &lt;61&gt;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культурно-массовых мероприятий &lt;61&gt;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гравийным/щебеночным покрытие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культурно-массовых мероприятий &lt;61&gt;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выгула животных &lt;62&gt;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2 628,00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2 628,00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шт./0шт.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732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2 628,00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2 628,00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газонным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выгула животных &lt;62&gt;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площадок для выгула животных &lt;63&gt;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площадок для выгула животных &lt;63&gt;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Площадки для дрессировки собак &lt;64&gt;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2 958,00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2 958,00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песчаным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2 958,00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2 958,00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газонным покрытием (озеленением)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дрессировки собак &lt;64&gt;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дрессировки собак &lt;65&gt;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&lt;635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&lt;65&gt;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дрессировки собак &lt;65&gt;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Контейнерные площадки &lt;25&gt;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&lt;25&gt; с раздельным сбором коммунальных отходов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&lt;15&gt; с контейнерами для ламп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площадки &lt;15&gt; с контейнерами для батареек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Автостоянки &lt;26&gt;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3 112,00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3 112,00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60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60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3 112,00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3 112,00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trHeight w:val="964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lastRenderedPageBreak/>
              <w:t>12.2.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</w:pPr>
            <w:r>
              <w:t>X</w:t>
            </w:r>
          </w:p>
          <w:p w:rsidR="005B12E9" w:rsidRDefault="005B12E9">
            <w:pPr>
              <w:pStyle w:val="ConsPlusNormal1"/>
              <w:shd w:val="clear" w:color="auto" w:fill="FFFFFF" w:themeFill="background1"/>
              <w:jc w:val="center"/>
            </w:pPr>
          </w:p>
          <w:p w:rsidR="005B12E9" w:rsidRDefault="005B12E9">
            <w:pPr>
              <w:pStyle w:val="ConsPlusNormal1"/>
              <w:shd w:val="clear" w:color="auto" w:fill="FFFFFF" w:themeFill="background1"/>
              <w:jc w:val="center"/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Автостоянки &lt;26&gt;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t>маш</w:t>
            </w:r>
            <w:proofErr w:type="spellEnd"/>
            <w:r>
              <w:t>./мест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 xml:space="preserve">Оборудование платных автостоянок &lt;26.1&gt; (всего),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12.8.1.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Оборудование платных автостоянок &lt;26.1&gt;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12.8.2.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Оборудование платных автостоянок &lt;26.1&gt;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>12.8.3.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t xml:space="preserve">Оборудование платных </w:t>
            </w:r>
            <w:r>
              <w:lastRenderedPageBreak/>
              <w:t>автостоянок &lt;26.1&gt;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rPr>
                <w:szCs w:val="24"/>
              </w:rPr>
            </w:pPr>
            <w:r>
              <w:lastRenderedPageBreak/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pStyle w:val="ConsPlusNormal1"/>
              <w:shd w:val="clear" w:color="auto" w:fill="FFFFFF" w:themeFill="background1"/>
              <w:jc w:val="center"/>
              <w:rPr>
                <w:szCs w:val="24"/>
              </w:rPr>
            </w:pPr>
            <w: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НТО &lt;66&gt;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НТО &lt;66&gt;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сезонных (летних) кафе &lt;67&gt;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сезонных (летних) кафе &lt;67&gt;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06" w:type="dxa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 не указанные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137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площадки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69" w:tooltip="14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о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06" w:type="dxa"/>
            <w:vMerge w:val="restart"/>
            <w:shd w:val="clear" w:color="auto" w:fill="FFFFFF" w:themeFill="background1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Проезды &lt;27.1&gt; (всего)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покрытием газонными решетками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Проезды &lt;27.1&gt;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Велодорожки &lt;28&gt;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3 913,00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3 913,00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3 913,00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3 913,00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3-7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резиновым покрытием &lt;13&gt;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Велодорожки &lt;28&gt;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&lt;29&gt;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Тротуары &lt;30&gt;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_шт. / _шт.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&lt;30&gt;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дорожки &lt;31&gt;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3153,40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8 801,00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6 697,00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2 104,00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 / 0шт.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6 697,00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6 697,00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956,40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956,40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2 104,00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2 104,00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дорожки &lt;31&gt;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06" w:type="dxa"/>
            <w:vMerge w:val="restart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Лыжероллерные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трассы &lt;52&gt;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 шт./_ шт.</w:t>
            </w:r>
          </w:p>
        </w:tc>
      </w:tr>
      <w:tr w:rsidR="005B12E9">
        <w:trPr>
          <w:jc w:val="center"/>
        </w:trPr>
        <w:tc>
          <w:tcPr>
            <w:tcW w:w="864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shd w:val="clear" w:color="auto" w:fill="auto"/>
          </w:tcPr>
          <w:p w:rsidR="005B12E9" w:rsidRDefault="005B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Роллерные трассы &lt;81&gt;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Роллерные трассы &lt;81&gt;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трассы &lt;53&gt;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&lt;32&gt;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23 355,00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23 355,00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Луговые газоны &lt;33&gt;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296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Мавританские газоны &lt;34&gt;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газоны и иные травяные покрытия &lt;35&gt;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23 035,00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23 035,00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 с однолетниками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цветники &lt;36&gt; с многолетниками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деревья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кустарники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Мобильное озеленение &lt;37&gt;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насаждения &lt;32.1&gt;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165 419,00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165 419,00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98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объекты ОТ &lt;42.1&gt;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21 067,00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21 067,00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Водоемы ОТ &lt;42.2&gt;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Акватории для купания ОТ &lt;42.3&gt;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акватории ОТ &lt;42.4&gt;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Пирсы &lt;42.5&gt;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24.4.4.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24.4.5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Пирсы &lt;42.5&gt;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объекта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_. / _шт.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асфальтобетонным/асфальтовым/бетонным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плиточным мощением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песочным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гравийным/щебеночным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покрытием из древесной коры/стружки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деревянным настилом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грунтовым покрытием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комбинированным или иным мягким покрытием &lt;17&gt;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благоустройства на ОТ &lt;11.1&gt;,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987" w:tooltip="24.">
              <w:r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 иным твердым покрытием &lt;18&gt;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устройства &lt;42&gt;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Питьевые фонтанчики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Фонтаны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Входные группы &lt;69&gt;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МАФ &lt;38&gt;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мебель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монументально-декоративного искусства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для оформления мобильного и вертикального озеленения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Некапитальные строения, сооружения &lt;39&gt;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Водно-спасательные станции, посты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Навесы, ротонды, веранды, беседки,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дровницы</w:t>
            </w:r>
            <w:proofErr w:type="spellEnd"/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Крытые спортивные сооружения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Крытые сооружения обслуживания и питания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проката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 матери и ребенка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НТО &lt;66.1&gt;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пункты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сооружения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Лодочные станции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охраны правопорядка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туалеты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Остановочные павильоны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(летние) кафе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Амфитеатры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Административно-хозяйственные сооружения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содержания животных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Плавучие домики для птиц, скворечники, кормушки, голубятни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Урны &lt;40&gt;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размещения информации &lt;41&gt;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таблички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Домовые знаки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размещения информации &lt;41&gt;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Ограждения &lt;43&gt;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деревянные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металлические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 &lt;43&gt; из древесно-полимерного композита/кирпича/бетона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Стационарные парковочные барьеры &lt;44&gt;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2E9" w:rsidRDefault="005B1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сопряжения покрытий &lt;45&gt;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930800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9308,00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Мостики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Мостики деревянные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Мостики металлические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мостики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Подпорные стенки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Лестницы и пандусы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Бортовые камни, бордюры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9308,00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9308,00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(всего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до 3 лет &lt;14&gt;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3-7 лет &lt;15&gt;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светодиодные светильники более 7 лет &lt;16&gt;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Кронштейны (всего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Четырехрожковые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 стоечные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Прямостоечные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Фланцевые окрашенные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Фланцевые оцинкованные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Железобетонные опоры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Одностоечные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одним подкосом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двумя подкосами железобетонные опоры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питания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Заземляющие устройства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электропередачи, проложенные в земле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Провода, кабели (всего),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Провода неизолированные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Кабельные колодцы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понижающие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напряжения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Трансформаторы тока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Фотореле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времени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Контакторы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пускатели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Рубильники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Выключатели автоматические однополюсные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1488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Выключатели автоматические трехполюсные</w:t>
            </w:r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12E9">
        <w:trPr>
          <w:trHeight w:val="735"/>
          <w:jc w:val="center"/>
        </w:trPr>
        <w:tc>
          <w:tcPr>
            <w:tcW w:w="86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417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506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элементы благоустройства ОТ &lt;54&gt;, не указанные в </w:t>
            </w:r>
            <w:hyperlink w:anchor="P5090" w:tooltip="1.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9417" w:tooltip="53.">
              <w:r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</w:p>
        </w:tc>
        <w:tc>
          <w:tcPr>
            <w:tcW w:w="624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3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3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7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3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2" w:type="dxa"/>
            <w:shd w:val="clear" w:color="auto" w:fill="auto"/>
          </w:tcPr>
          <w:p w:rsidR="005B12E9" w:rsidRDefault="009F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5B12E9" w:rsidRDefault="005B12E9">
      <w:pPr>
        <w:rPr>
          <w:rFonts w:ascii="Times New Roman" w:hAnsi="Times New Roman" w:cs="Times New Roman"/>
          <w:sz w:val="24"/>
          <w:szCs w:val="24"/>
        </w:rPr>
        <w:sectPr w:rsidR="005B12E9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3" w:right="397" w:bottom="963" w:left="397" w:header="0" w:footer="0" w:gutter="0"/>
          <w:pgNumType w:fmt="numberInDash"/>
          <w:cols w:space="720"/>
          <w:titlePg/>
        </w:sectPr>
      </w:pPr>
    </w:p>
    <w:p w:rsidR="005B12E9" w:rsidRDefault="005B12E9">
      <w:pPr>
        <w:pStyle w:val="ConsPlusNormal1"/>
        <w:pBdr>
          <w:bottom w:val="single" w:sz="6" w:space="0" w:color="auto"/>
        </w:pBdr>
        <w:shd w:val="clear" w:color="auto" w:fill="FFFFFF" w:themeFill="background1"/>
        <w:spacing w:before="720"/>
        <w:ind w:leftChars="3938" w:left="8664"/>
        <w:jc w:val="both"/>
        <w:rPr>
          <w:sz w:val="2"/>
          <w:szCs w:val="2"/>
        </w:rPr>
      </w:pPr>
    </w:p>
    <w:sectPr w:rsidR="005B12E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62" w:rsidRDefault="00805E62">
      <w:r>
        <w:separator/>
      </w:r>
    </w:p>
  </w:endnote>
  <w:endnote w:type="continuationSeparator" w:id="0">
    <w:p w:rsidR="00805E62" w:rsidRDefault="0080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Текстовое поле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0B1B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z6MZhzAgAAHg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0B1B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5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FXBJX9zAgAAJQ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9F10A2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Текстовое пол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0B1B">
                            <w:rPr>
                              <w:noProof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1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WLpVP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0B1B">
                      <w:rPr>
                        <w:noProof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9F10A2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Текстовое поле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0B1B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2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B2pQe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0B1B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9F10A2">
    <w:pPr>
      <w:pStyle w:val="ConsPlusNormal1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0B1B">
                            <w:rPr>
                              <w:noProof/>
                            </w:rP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V9HyeH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0B1B">
                      <w:rPr>
                        <w:noProof/>
                      </w:rPr>
                      <w:t>- 33 -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9F10A2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4" o:spid="_x0000_s1032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xhldIdAIAACU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- 28 -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9F10A2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62" w:rsidRDefault="00805E62">
      <w:r>
        <w:separator/>
      </w:r>
    </w:p>
  </w:footnote>
  <w:footnote w:type="continuationSeparator" w:id="0">
    <w:p w:rsidR="00805E62" w:rsidRDefault="00805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9F10A2">
    <w:pPr>
      <w:pStyle w:val="ConsPlusNormal1"/>
      <w:pBdr>
        <w:bottom w:val="single" w:sz="12" w:space="0" w:color="auto"/>
      </w:pBdr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12E9" w:rsidRDefault="009F10A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KJqXW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5B12E9" w:rsidRDefault="009F10A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B12E9" w:rsidRDefault="005B12E9">
    <w:pPr>
      <w:pStyle w:val="ConsPlusNormal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5B12E9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B12E9" w:rsidRDefault="005B12E9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5B12E9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B12E9" w:rsidRDefault="005B12E9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5B12E9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5B12E9" w:rsidRDefault="005B12E9">
    <w:pPr>
      <w:pStyle w:val="ConsPlusNormal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E9" w:rsidRDefault="005B12E9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2"/>
    <w:rsid w:val="00125021"/>
    <w:rsid w:val="001F230F"/>
    <w:rsid w:val="002B3372"/>
    <w:rsid w:val="004C0B1B"/>
    <w:rsid w:val="0051641E"/>
    <w:rsid w:val="00527975"/>
    <w:rsid w:val="005B12E9"/>
    <w:rsid w:val="006F719B"/>
    <w:rsid w:val="007F0309"/>
    <w:rsid w:val="00805E62"/>
    <w:rsid w:val="009B0E92"/>
    <w:rsid w:val="009F10A2"/>
    <w:rsid w:val="00DE2D3C"/>
    <w:rsid w:val="00EE5AF8"/>
    <w:rsid w:val="00F20709"/>
    <w:rsid w:val="01780544"/>
    <w:rsid w:val="02B1772E"/>
    <w:rsid w:val="02EB6A58"/>
    <w:rsid w:val="047132E4"/>
    <w:rsid w:val="04DD3204"/>
    <w:rsid w:val="0764399F"/>
    <w:rsid w:val="07F21A9E"/>
    <w:rsid w:val="09B82691"/>
    <w:rsid w:val="09B90977"/>
    <w:rsid w:val="0A1B63FE"/>
    <w:rsid w:val="0BA84C31"/>
    <w:rsid w:val="0BDE0332"/>
    <w:rsid w:val="0E055637"/>
    <w:rsid w:val="0E2502F7"/>
    <w:rsid w:val="0FD5194C"/>
    <w:rsid w:val="0FF7246A"/>
    <w:rsid w:val="10631321"/>
    <w:rsid w:val="108D2337"/>
    <w:rsid w:val="115274A8"/>
    <w:rsid w:val="121743F3"/>
    <w:rsid w:val="13F81A64"/>
    <w:rsid w:val="14F07C60"/>
    <w:rsid w:val="16C05648"/>
    <w:rsid w:val="19770119"/>
    <w:rsid w:val="19A94AC5"/>
    <w:rsid w:val="1AA22BEF"/>
    <w:rsid w:val="1AAC49B1"/>
    <w:rsid w:val="1BB142DA"/>
    <w:rsid w:val="1C670814"/>
    <w:rsid w:val="1D7E6338"/>
    <w:rsid w:val="1EB81AB8"/>
    <w:rsid w:val="1EE753F2"/>
    <w:rsid w:val="20104BB8"/>
    <w:rsid w:val="202F26C1"/>
    <w:rsid w:val="20C51022"/>
    <w:rsid w:val="21605360"/>
    <w:rsid w:val="234207E5"/>
    <w:rsid w:val="24652BDE"/>
    <w:rsid w:val="250769C3"/>
    <w:rsid w:val="25141555"/>
    <w:rsid w:val="25B572FA"/>
    <w:rsid w:val="27082397"/>
    <w:rsid w:val="27284F7F"/>
    <w:rsid w:val="278769FC"/>
    <w:rsid w:val="287E52AE"/>
    <w:rsid w:val="29692A35"/>
    <w:rsid w:val="2AEB4CB3"/>
    <w:rsid w:val="2B1D5202"/>
    <w:rsid w:val="2D022756"/>
    <w:rsid w:val="2D5F3426"/>
    <w:rsid w:val="2E04649D"/>
    <w:rsid w:val="2E1B2D51"/>
    <w:rsid w:val="31EA6110"/>
    <w:rsid w:val="32FD0BAA"/>
    <w:rsid w:val="337F4A72"/>
    <w:rsid w:val="37172C01"/>
    <w:rsid w:val="37AD63D6"/>
    <w:rsid w:val="38876C5F"/>
    <w:rsid w:val="39003390"/>
    <w:rsid w:val="39402788"/>
    <w:rsid w:val="39804273"/>
    <w:rsid w:val="39FC1B44"/>
    <w:rsid w:val="3A0E5B38"/>
    <w:rsid w:val="3D423410"/>
    <w:rsid w:val="3DDF7A93"/>
    <w:rsid w:val="3FCD644D"/>
    <w:rsid w:val="400247A4"/>
    <w:rsid w:val="40D50962"/>
    <w:rsid w:val="41016813"/>
    <w:rsid w:val="420D75E2"/>
    <w:rsid w:val="427F2CBC"/>
    <w:rsid w:val="430D2818"/>
    <w:rsid w:val="43332A55"/>
    <w:rsid w:val="439F2985"/>
    <w:rsid w:val="43F83060"/>
    <w:rsid w:val="449D5733"/>
    <w:rsid w:val="458D6121"/>
    <w:rsid w:val="46BF2920"/>
    <w:rsid w:val="477D10E4"/>
    <w:rsid w:val="47B303B1"/>
    <w:rsid w:val="49050D53"/>
    <w:rsid w:val="4919662F"/>
    <w:rsid w:val="494B5E92"/>
    <w:rsid w:val="497266D3"/>
    <w:rsid w:val="4A7255D7"/>
    <w:rsid w:val="4A7965BA"/>
    <w:rsid w:val="4BF40CCA"/>
    <w:rsid w:val="4C034229"/>
    <w:rsid w:val="4D2B6FAE"/>
    <w:rsid w:val="4DF20138"/>
    <w:rsid w:val="4F6A76D8"/>
    <w:rsid w:val="50190775"/>
    <w:rsid w:val="509D5E0A"/>
    <w:rsid w:val="50C46C53"/>
    <w:rsid w:val="50FC6E7E"/>
    <w:rsid w:val="51B2596B"/>
    <w:rsid w:val="52782130"/>
    <w:rsid w:val="52E07C83"/>
    <w:rsid w:val="54AC2221"/>
    <w:rsid w:val="57FE5BCC"/>
    <w:rsid w:val="58A2699C"/>
    <w:rsid w:val="59625243"/>
    <w:rsid w:val="5A1D2E0A"/>
    <w:rsid w:val="5A4A65BC"/>
    <w:rsid w:val="5B9C077F"/>
    <w:rsid w:val="5C5F52A8"/>
    <w:rsid w:val="5C7774C0"/>
    <w:rsid w:val="5CA7511A"/>
    <w:rsid w:val="5E315587"/>
    <w:rsid w:val="5F0A307C"/>
    <w:rsid w:val="61D54F1C"/>
    <w:rsid w:val="6202249B"/>
    <w:rsid w:val="63492C8F"/>
    <w:rsid w:val="63721D5C"/>
    <w:rsid w:val="63AA7892"/>
    <w:rsid w:val="64D77D57"/>
    <w:rsid w:val="65D95929"/>
    <w:rsid w:val="667069CA"/>
    <w:rsid w:val="66964E53"/>
    <w:rsid w:val="69B039CD"/>
    <w:rsid w:val="6A881455"/>
    <w:rsid w:val="6BC03994"/>
    <w:rsid w:val="6C321E9E"/>
    <w:rsid w:val="6D2E042E"/>
    <w:rsid w:val="6D896125"/>
    <w:rsid w:val="6DC94373"/>
    <w:rsid w:val="6DD31764"/>
    <w:rsid w:val="6E3269D7"/>
    <w:rsid w:val="6E725AA9"/>
    <w:rsid w:val="6F59394C"/>
    <w:rsid w:val="70D177BA"/>
    <w:rsid w:val="72BC366A"/>
    <w:rsid w:val="744E6EE6"/>
    <w:rsid w:val="7472357A"/>
    <w:rsid w:val="74C103DB"/>
    <w:rsid w:val="75F713B7"/>
    <w:rsid w:val="760652AE"/>
    <w:rsid w:val="76296295"/>
    <w:rsid w:val="76793EB6"/>
    <w:rsid w:val="76846B94"/>
    <w:rsid w:val="770C67C8"/>
    <w:rsid w:val="7716684E"/>
    <w:rsid w:val="77713977"/>
    <w:rsid w:val="77C045B0"/>
    <w:rsid w:val="77C526DB"/>
    <w:rsid w:val="78BF6440"/>
    <w:rsid w:val="78C74E32"/>
    <w:rsid w:val="799E5466"/>
    <w:rsid w:val="7A2A4395"/>
    <w:rsid w:val="7A2D2F15"/>
    <w:rsid w:val="7A6245C2"/>
    <w:rsid w:val="7A63002B"/>
    <w:rsid w:val="7B5D0D36"/>
    <w:rsid w:val="7BFC23FF"/>
    <w:rsid w:val="7E642853"/>
    <w:rsid w:val="7EC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F30B"/>
  <w15:docId w15:val="{A0976545-BE58-423E-85AD-CAFCCA06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rmal1">
    <w:name w:val="ConsPlusNormal1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Nonformat1">
    <w:name w:val="ConsPlusNonformat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1">
    <w:name w:val="ConsPlusTitle1"/>
    <w:qFormat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Cell1">
    <w:name w:val="ConsPlusCell1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1">
    <w:name w:val="ConsPlusDocList1"/>
    <w:qFormat/>
    <w:pPr>
      <w:widowControl w:val="0"/>
      <w:autoSpaceDE w:val="0"/>
      <w:autoSpaceDN w:val="0"/>
    </w:pPr>
    <w:rPr>
      <w:rFonts w:ascii="Tahoma" w:hAnsi="Tahoma" w:cs="Tahoma"/>
      <w:sz w:val="18"/>
      <w:szCs w:val="22"/>
    </w:rPr>
  </w:style>
  <w:style w:type="paragraph" w:customStyle="1" w:styleId="ConsPlusTitlePage1">
    <w:name w:val="ConsPlusTitlePage1"/>
    <w:qFormat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1">
    <w:name w:val="ConsPlusJurTerm1"/>
    <w:qFormat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2">
    <w:name w:val="ConsPlusTextList2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customStyle="1" w:styleId="ConsPlusTextList3">
    <w:name w:val="ConsPlusTextList3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Минблагоустройства МО от 06.05.2020 N 10Р-19
(ред. от 28.12.2024)
"Об утверждении форм титульных списков объектов благоустройства"</vt:lpstr>
    </vt:vector>
  </TitlesOfParts>
  <Company>КонсультантПлюс Версия 4024.00.50</Company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Минблагоустройства МО от 06.05.2020 N 10Р-19
(ред. от 28.12.2024)
"Об утверждении форм титульных списков объектов благоустройства"</dc:title>
  <dc:creator>root</dc:creator>
  <cp:lastModifiedBy>Воронова Л.Н.</cp:lastModifiedBy>
  <cp:revision>2</cp:revision>
  <dcterms:created xsi:type="dcterms:W3CDTF">2026-01-15T14:31:00Z</dcterms:created>
  <dcterms:modified xsi:type="dcterms:W3CDTF">2026-01-15T14:31:00Z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6B9DAAC8977D4A64B3252E64FD196AD4_12</vt:lpwstr>
  </property>
</Properties>
</file>