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A7" w:rsidRPr="0047375B" w:rsidRDefault="001D27A7" w:rsidP="001D27A7">
      <w:pPr>
        <w:pStyle w:val="ConsPlusNonformat"/>
        <w:jc w:val="right"/>
        <w:rPr>
          <w:rFonts w:ascii="Times New Roman" w:hAnsi="Times New Roman" w:cs="Times New Roman"/>
          <w:bCs/>
        </w:rPr>
      </w:pPr>
      <w:r w:rsidRPr="0047375B">
        <w:rPr>
          <w:rFonts w:ascii="Times New Roman" w:hAnsi="Times New Roman" w:cs="Times New Roman"/>
          <w:bCs/>
        </w:rPr>
        <w:t>Приложение №3 к постановлению</w:t>
      </w:r>
    </w:p>
    <w:p w:rsidR="001D27A7" w:rsidRPr="0047375B" w:rsidRDefault="001D27A7" w:rsidP="001D27A7">
      <w:pPr>
        <w:pStyle w:val="ConsPlusNonformat"/>
        <w:jc w:val="right"/>
        <w:rPr>
          <w:rFonts w:ascii="Times New Roman" w:hAnsi="Times New Roman" w:cs="Times New Roman"/>
          <w:bCs/>
        </w:rPr>
      </w:pPr>
      <w:r w:rsidRPr="0047375B">
        <w:rPr>
          <w:rFonts w:ascii="Times New Roman" w:hAnsi="Times New Roman" w:cs="Times New Roman"/>
          <w:bCs/>
        </w:rPr>
        <w:t xml:space="preserve">                                                  Администрации городского округа Домодедово                                                                                                                                                                       от </w:t>
      </w:r>
      <w:r w:rsidR="002E27ED">
        <w:rPr>
          <w:rFonts w:ascii="Times New Roman" w:hAnsi="Times New Roman" w:cs="Times New Roman"/>
          <w:bCs/>
        </w:rPr>
        <w:t>29.01.2026</w:t>
      </w:r>
      <w:r w:rsidRPr="0047375B">
        <w:rPr>
          <w:rFonts w:ascii="Times New Roman" w:hAnsi="Times New Roman" w:cs="Times New Roman"/>
          <w:bCs/>
        </w:rPr>
        <w:t xml:space="preserve"> № </w:t>
      </w:r>
      <w:r w:rsidR="002E27ED">
        <w:rPr>
          <w:rFonts w:ascii="Times New Roman" w:hAnsi="Times New Roman" w:cs="Times New Roman"/>
          <w:bCs/>
        </w:rPr>
        <w:t>377</w:t>
      </w:r>
    </w:p>
    <w:p w:rsidR="00EE1D15" w:rsidRPr="0047375B" w:rsidRDefault="00EE1D15" w:rsidP="00EE1D1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2"/>
        </w:rPr>
      </w:pPr>
    </w:p>
    <w:p w:rsidR="001D27A7" w:rsidRPr="0047375B" w:rsidRDefault="001D27A7" w:rsidP="00EE1D1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2"/>
        </w:rPr>
      </w:pPr>
    </w:p>
    <w:p w:rsidR="001D27A7" w:rsidRPr="0047375B" w:rsidRDefault="001D27A7" w:rsidP="00193CF7">
      <w:pPr>
        <w:spacing w:line="20" w:lineRule="atLeast"/>
        <w:ind w:left="360"/>
        <w:jc w:val="center"/>
        <w:rPr>
          <w:rFonts w:eastAsia="Arial Unicode MS" w:cs="Times New Roman"/>
          <w:b/>
          <w:bCs/>
          <w:color w:val="000000"/>
          <w:sz w:val="24"/>
          <w:szCs w:val="24"/>
        </w:rPr>
      </w:pPr>
      <w:r w:rsidRPr="001D27A7">
        <w:rPr>
          <w:rFonts w:eastAsia="Arial Unicode MS" w:cs="Times New Roman"/>
          <w:b/>
          <w:color w:val="000000"/>
          <w:sz w:val="24"/>
          <w:szCs w:val="24"/>
        </w:rPr>
        <w:t xml:space="preserve">5. </w:t>
      </w:r>
      <w:r w:rsidR="00193CF7" w:rsidRPr="0047375B">
        <w:rPr>
          <w:rFonts w:eastAsia="Arial Unicode MS" w:cs="Times New Roman"/>
          <w:b/>
          <w:color w:val="000000"/>
          <w:sz w:val="24"/>
          <w:szCs w:val="24"/>
        </w:rPr>
        <w:t>Методика расчета значений целевых показателей муниципальной программы городского округа Домодедово</w:t>
      </w:r>
    </w:p>
    <w:p w:rsidR="00193CF7" w:rsidRPr="0047375B" w:rsidRDefault="00193CF7" w:rsidP="00193CF7">
      <w:pPr>
        <w:spacing w:line="20" w:lineRule="atLeast"/>
        <w:ind w:left="360"/>
        <w:jc w:val="center"/>
        <w:rPr>
          <w:rFonts w:eastAsia="Arial Unicode MS" w:cs="Times New Roman"/>
          <w:b/>
          <w:bCs/>
          <w:color w:val="000000"/>
          <w:sz w:val="24"/>
          <w:szCs w:val="24"/>
        </w:rPr>
      </w:pPr>
      <w:r w:rsidRPr="0047375B">
        <w:rPr>
          <w:rFonts w:eastAsia="Arial Unicode MS" w:cs="Times New Roman"/>
          <w:b/>
          <w:bCs/>
          <w:color w:val="000000"/>
          <w:sz w:val="24"/>
          <w:szCs w:val="24"/>
        </w:rPr>
        <w:t>«Формирование современной комфортной городской среды»</w:t>
      </w:r>
    </w:p>
    <w:p w:rsidR="00193CF7" w:rsidRPr="0047375B" w:rsidRDefault="00193CF7" w:rsidP="00193CF7">
      <w:pPr>
        <w:spacing w:line="20" w:lineRule="atLeast"/>
        <w:ind w:left="360"/>
        <w:jc w:val="center"/>
        <w:rPr>
          <w:rFonts w:eastAsia="Arial Unicode MS" w:cs="Times New Roman"/>
          <w:b/>
          <w:color w:val="000000"/>
          <w:sz w:val="24"/>
          <w:szCs w:val="24"/>
        </w:rPr>
      </w:pPr>
    </w:p>
    <w:p w:rsidR="001D27A7" w:rsidRPr="001D27A7" w:rsidRDefault="001D27A7" w:rsidP="001D27A7">
      <w:pPr>
        <w:spacing w:line="20" w:lineRule="atLeast"/>
        <w:ind w:left="360"/>
        <w:jc w:val="center"/>
        <w:rPr>
          <w:rFonts w:eastAsia="Arial Unicode MS" w:cs="Times New Roman"/>
          <w:b/>
          <w:color w:val="000000"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948"/>
        <w:gridCol w:w="1162"/>
        <w:gridCol w:w="5669"/>
        <w:gridCol w:w="2693"/>
        <w:gridCol w:w="2128"/>
      </w:tblGrid>
      <w:tr w:rsidR="00D54B8D" w:rsidRPr="0047375B" w:rsidTr="00A33AAE">
        <w:tc>
          <w:tcPr>
            <w:tcW w:w="739" w:type="dxa"/>
            <w:shd w:val="clear" w:color="auto" w:fill="auto"/>
          </w:tcPr>
          <w:p w:rsidR="00D54B8D" w:rsidRPr="001D27A7" w:rsidRDefault="00D54B8D" w:rsidP="00D54B8D">
            <w:pPr>
              <w:spacing w:line="20" w:lineRule="atLeast"/>
              <w:contextualSpacing/>
              <w:jc w:val="center"/>
              <w:rPr>
                <w:rFonts w:eastAsia="Arial Unicode MS" w:cs="Times New Roman"/>
                <w:b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b/>
                <w:color w:val="000000"/>
                <w:sz w:val="22"/>
              </w:rPr>
              <w:t>№п/п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B8D" w:rsidRPr="0047375B" w:rsidRDefault="002E27ED" w:rsidP="00D54B8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Наименование </w:t>
            </w:r>
            <w:r w:rsidR="00D54B8D" w:rsidRPr="0047375B">
              <w:rPr>
                <w:rFonts w:cs="Times New Roman"/>
                <w:b/>
                <w:sz w:val="22"/>
              </w:rPr>
              <w:t>показателя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B8D" w:rsidRPr="0047375B" w:rsidRDefault="00D54B8D" w:rsidP="00D54B8D">
            <w:pPr>
              <w:jc w:val="center"/>
              <w:rPr>
                <w:rFonts w:cs="Times New Roman"/>
                <w:b/>
                <w:sz w:val="22"/>
              </w:rPr>
            </w:pPr>
            <w:r w:rsidRPr="0047375B">
              <w:rPr>
                <w:rFonts w:cs="Times New Roman"/>
                <w:b/>
                <w:sz w:val="22"/>
              </w:rPr>
              <w:t>Единица измерения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B8D" w:rsidRPr="0047375B" w:rsidRDefault="00D54B8D" w:rsidP="00D54B8D">
            <w:pPr>
              <w:jc w:val="center"/>
              <w:rPr>
                <w:rFonts w:cs="Times New Roman"/>
                <w:b/>
                <w:sz w:val="22"/>
              </w:rPr>
            </w:pPr>
            <w:r w:rsidRPr="0047375B">
              <w:rPr>
                <w:rFonts w:cs="Times New Roman"/>
                <w:b/>
                <w:sz w:val="22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54B8D" w:rsidRPr="0047375B" w:rsidRDefault="00D54B8D" w:rsidP="00D54B8D">
            <w:pPr>
              <w:jc w:val="center"/>
              <w:rPr>
                <w:rFonts w:cs="Times New Roman"/>
                <w:b/>
                <w:sz w:val="22"/>
              </w:rPr>
            </w:pPr>
            <w:r w:rsidRPr="0047375B">
              <w:rPr>
                <w:rFonts w:cs="Times New Roman"/>
                <w:b/>
                <w:sz w:val="22"/>
              </w:rPr>
              <w:t>Источник данных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54B8D" w:rsidRPr="0047375B" w:rsidRDefault="00D54B8D" w:rsidP="00D54B8D">
            <w:pPr>
              <w:jc w:val="center"/>
              <w:rPr>
                <w:rFonts w:cs="Times New Roman"/>
                <w:b/>
                <w:sz w:val="22"/>
              </w:rPr>
            </w:pPr>
            <w:r w:rsidRPr="0047375B">
              <w:rPr>
                <w:rFonts w:cs="Times New Roman"/>
                <w:b/>
                <w:sz w:val="22"/>
              </w:rPr>
              <w:t>Периодичность представления</w:t>
            </w:r>
          </w:p>
        </w:tc>
      </w:tr>
      <w:tr w:rsidR="001D27A7" w:rsidRPr="001D27A7" w:rsidTr="00A33AAE">
        <w:trPr>
          <w:trHeight w:val="1113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Количество благоустроенных общественных территорий (нарастающим итогом)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1C6383" w:rsidP="00D54B8D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</w:t>
            </w:r>
            <w:r w:rsidR="001D27A7" w:rsidRPr="0047375B">
              <w:rPr>
                <w:sz w:val="22"/>
              </w:rPr>
              <w:t>начение показателя определяется н</w:t>
            </w:r>
            <w:r w:rsidR="00D54B8D" w:rsidRPr="0047375B">
              <w:rPr>
                <w:sz w:val="22"/>
              </w:rPr>
              <w:t>арастающим итогом начиная с 2026</w:t>
            </w:r>
            <w:r w:rsidR="001D27A7" w:rsidRPr="0047375B">
              <w:rPr>
                <w:sz w:val="22"/>
              </w:rPr>
              <w:t xml:space="preserve"> года как сумма количеств общественных территорий</w:t>
            </w:r>
            <w:r w:rsidRPr="0047375B">
              <w:rPr>
                <w:sz w:val="22"/>
              </w:rPr>
              <w:t xml:space="preserve"> городского округа Домодедово</w:t>
            </w:r>
            <w:r w:rsidR="001D27A7" w:rsidRPr="0047375B">
              <w:rPr>
                <w:sz w:val="22"/>
              </w:rPr>
              <w:t>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 результатам осмотра благоустроенных общественных территорий.</w:t>
            </w:r>
          </w:p>
        </w:tc>
        <w:tc>
          <w:tcPr>
            <w:tcW w:w="2693" w:type="dxa"/>
          </w:tcPr>
          <w:p w:rsidR="001D27A7" w:rsidRPr="001D27A7" w:rsidRDefault="001D27A7" w:rsidP="001D27A7">
            <w:pPr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Перечень благоустроенных общественных территорий</w:t>
            </w:r>
          </w:p>
          <w:p w:rsidR="001D27A7" w:rsidRPr="001D27A7" w:rsidRDefault="001D27A7" w:rsidP="001D27A7">
            <w:pPr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городского округа Домодедово н</w:t>
            </w:r>
            <w:r w:rsidR="00D54B8D" w:rsidRPr="0047375B">
              <w:rPr>
                <w:rFonts w:eastAsia="Arial Unicode MS" w:cs="Times New Roman"/>
                <w:color w:val="000000"/>
                <w:sz w:val="22"/>
              </w:rPr>
              <w:t>арастающим итогом начиная с 2026</w:t>
            </w:r>
            <w:r w:rsidRPr="001D27A7">
              <w:rPr>
                <w:rFonts w:eastAsia="Arial Unicode MS" w:cs="Times New Roman"/>
                <w:color w:val="000000"/>
                <w:sz w:val="22"/>
              </w:rPr>
              <w:t xml:space="preserve"> года.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1113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Изготовлено и установлено стел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1C6383" w:rsidP="001C638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Значение показателя определяется по количеству изготовленных и установленных стел на территории городского округа Домодедово в отчетном периоде</w:t>
            </w:r>
          </w:p>
        </w:tc>
        <w:tc>
          <w:tcPr>
            <w:tcW w:w="2693" w:type="dxa"/>
          </w:tcPr>
          <w:p w:rsidR="001D27A7" w:rsidRPr="001D27A7" w:rsidRDefault="001C6383" w:rsidP="001D27A7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47375B">
              <w:rPr>
                <w:rFonts w:eastAsia="Calibri" w:cs="Times New Roman"/>
                <w:sz w:val="22"/>
              </w:rPr>
              <w:t xml:space="preserve">Реестр изготовленных и </w:t>
            </w:r>
            <w:bookmarkStart w:id="0" w:name="_GoBack"/>
            <w:bookmarkEnd w:id="0"/>
            <w:r w:rsidRPr="0047375B">
              <w:rPr>
                <w:rFonts w:eastAsia="Calibri" w:cs="Times New Roman"/>
                <w:sz w:val="22"/>
              </w:rPr>
              <w:t>установленных стел на территории городского округа Домодедово в отчетном периоде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973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1C6383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Значение показателя определяется по количеству установленных детских игровых площадок за счет средств местного бюджета на территории городского округа Домодедово в отчетном периоде</w:t>
            </w:r>
          </w:p>
        </w:tc>
        <w:tc>
          <w:tcPr>
            <w:tcW w:w="2693" w:type="dxa"/>
          </w:tcPr>
          <w:p w:rsidR="001D27A7" w:rsidRPr="001D27A7" w:rsidRDefault="001C6383" w:rsidP="001D27A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7375B">
              <w:rPr>
                <w:rFonts w:eastAsia="Times New Roman" w:cs="Times New Roman"/>
                <w:color w:val="000000"/>
                <w:sz w:val="22"/>
                <w:lang w:eastAsia="ru-RU"/>
              </w:rPr>
              <w:t>Реестр установленных детских игровых площадок на территории городского округа Домодедово в отчетном году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973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4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2693" w:type="dxa"/>
          </w:tcPr>
          <w:p w:rsidR="001D27A7" w:rsidRPr="001D27A7" w:rsidRDefault="00FC005E" w:rsidP="001D27A7">
            <w:pPr>
              <w:rPr>
                <w:rFonts w:eastAsia="Calibri" w:cs="Times New Roman"/>
                <w:sz w:val="22"/>
              </w:rPr>
            </w:pPr>
            <w:r w:rsidRPr="0047375B">
              <w:rPr>
                <w:rFonts w:eastAsia="Times New Roman" w:cs="Times New Roman"/>
                <w:color w:val="000000"/>
                <w:sz w:val="22"/>
                <w:lang w:eastAsia="ru-RU"/>
              </w:rPr>
              <w:t>Методикой расчета дотационных средств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jc w:val="center"/>
              <w:rPr>
                <w:rFonts w:eastAsia="Calibri" w:cs="Times New Roman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1002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Количество замененных светильников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FC005E" w:rsidP="00FC005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Значение показателя определяется по количеству замененных светильников на территории городского округа Домодедово в отчетном периоде</w:t>
            </w:r>
          </w:p>
        </w:tc>
        <w:tc>
          <w:tcPr>
            <w:tcW w:w="2693" w:type="dxa"/>
          </w:tcPr>
          <w:p w:rsidR="001D27A7" w:rsidRPr="001D27A7" w:rsidRDefault="00FC005E" w:rsidP="001D27A7">
            <w:pPr>
              <w:spacing w:line="20" w:lineRule="atLeast"/>
              <w:ind w:left="-109" w:right="-108"/>
              <w:contextualSpacing/>
              <w:rPr>
                <w:rFonts w:eastAsia="Arial Unicode MS" w:cs="Times New Roman"/>
                <w:color w:val="000000"/>
                <w:sz w:val="22"/>
              </w:rPr>
            </w:pPr>
            <w:r w:rsidRPr="0047375B">
              <w:rPr>
                <w:rFonts w:eastAsia="Arial Unicode MS" w:cs="Times New Roman"/>
                <w:color w:val="000000"/>
                <w:sz w:val="22"/>
              </w:rPr>
              <w:t>Реестр замененных светильников на территории городского округа Домодедово в отчетном периоде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1002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6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Замена неэнергоэффективных светильников наружного освещения</w:t>
            </w:r>
          </w:p>
        </w:tc>
        <w:tc>
          <w:tcPr>
            <w:tcW w:w="1162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A33AAE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693" w:type="dxa"/>
          </w:tcPr>
          <w:p w:rsidR="001D27A7" w:rsidRPr="001D27A7" w:rsidRDefault="00A33AAE" w:rsidP="00A33AA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2"/>
              </w:rPr>
            </w:pPr>
            <w:r w:rsidRPr="0047375B">
              <w:rPr>
                <w:rFonts w:eastAsia="Calibri" w:cs="Times New Roman"/>
                <w:color w:val="000000"/>
                <w:sz w:val="22"/>
              </w:rPr>
              <w:t>Методика расчета дотационных средств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A33AAE" w:rsidRPr="001D27A7" w:rsidTr="00A33AAE">
        <w:trPr>
          <w:trHeight w:val="870"/>
        </w:trPr>
        <w:tc>
          <w:tcPr>
            <w:tcW w:w="739" w:type="dxa"/>
            <w:shd w:val="clear" w:color="auto" w:fill="auto"/>
          </w:tcPr>
          <w:p w:rsidR="00A33AAE" w:rsidRPr="001D27A7" w:rsidRDefault="00A33AAE" w:rsidP="00A33AAE">
            <w:pPr>
              <w:jc w:val="center"/>
              <w:rPr>
                <w:rFonts w:eastAsia="Calibri" w:cs="Times New Roman"/>
                <w:sz w:val="22"/>
              </w:rPr>
            </w:pPr>
            <w:r w:rsidRPr="001D27A7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2948" w:type="dxa"/>
            <w:shd w:val="clear" w:color="auto" w:fill="auto"/>
          </w:tcPr>
          <w:p w:rsidR="00A33AAE" w:rsidRPr="0047375B" w:rsidRDefault="00A33AAE" w:rsidP="00A33AA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Установка шкафов управления наружным освещением</w:t>
            </w:r>
          </w:p>
        </w:tc>
        <w:tc>
          <w:tcPr>
            <w:tcW w:w="1162" w:type="dxa"/>
            <w:shd w:val="clear" w:color="auto" w:fill="auto"/>
          </w:tcPr>
          <w:p w:rsidR="00A33AAE" w:rsidRPr="0047375B" w:rsidRDefault="00A33AAE" w:rsidP="00A33AA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A33AAE" w:rsidRPr="0047375B" w:rsidRDefault="00A33AAE" w:rsidP="00A33AA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rFonts w:eastAsia="Times New Roman" w:cs="Times New Roman"/>
                <w:color w:val="000000"/>
                <w:sz w:val="22"/>
                <w:lang w:eastAsia="ru-RU"/>
              </w:rPr>
              <w:t>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693" w:type="dxa"/>
          </w:tcPr>
          <w:p w:rsidR="00A33AAE" w:rsidRPr="001D27A7" w:rsidRDefault="00A33AAE" w:rsidP="00A33AAE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2"/>
              </w:rPr>
            </w:pPr>
            <w:r w:rsidRPr="0047375B">
              <w:rPr>
                <w:rFonts w:eastAsia="Calibri" w:cs="Times New Roman"/>
                <w:color w:val="000000"/>
                <w:sz w:val="22"/>
              </w:rPr>
              <w:t>Методика расчета дотационных средств</w:t>
            </w:r>
          </w:p>
        </w:tc>
        <w:tc>
          <w:tcPr>
            <w:tcW w:w="2128" w:type="dxa"/>
            <w:shd w:val="clear" w:color="auto" w:fill="auto"/>
          </w:tcPr>
          <w:p w:rsidR="00A33AAE" w:rsidRPr="001D27A7" w:rsidRDefault="00A33AAE" w:rsidP="00A33AA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</w:p>
          <w:p w:rsidR="00A33AAE" w:rsidRPr="001D27A7" w:rsidRDefault="00A33AAE" w:rsidP="00A33AAE">
            <w:pPr>
              <w:jc w:val="center"/>
              <w:rPr>
                <w:rFonts w:eastAsia="Arial Unicode MS" w:cs="Times New Roman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870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jc w:val="center"/>
              <w:rPr>
                <w:rFonts w:eastAsia="Calibri" w:cs="Times New Roman"/>
                <w:sz w:val="22"/>
              </w:rPr>
            </w:pPr>
            <w:r w:rsidRPr="001D27A7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62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A33AAE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693" w:type="dxa"/>
          </w:tcPr>
          <w:p w:rsidR="001D27A7" w:rsidRPr="001D27A7" w:rsidRDefault="00A33AAE" w:rsidP="001D27A7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2"/>
              </w:rPr>
            </w:pPr>
            <w:r w:rsidRPr="0047375B">
              <w:rPr>
                <w:rFonts w:eastAsia="Arial Unicode MS" w:cs="Times New Roman"/>
                <w:color w:val="000000"/>
                <w:sz w:val="22"/>
              </w:rPr>
              <w:t>Методика расчета дотационных средств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A33AAE">
        <w:trPr>
          <w:trHeight w:val="1002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jc w:val="center"/>
              <w:rPr>
                <w:rFonts w:eastAsia="Calibri" w:cs="Times New Roman"/>
                <w:sz w:val="22"/>
              </w:rPr>
            </w:pPr>
            <w:r w:rsidRPr="001D27A7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62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Единица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A33AAE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2693" w:type="dxa"/>
          </w:tcPr>
          <w:p w:rsidR="001D27A7" w:rsidRPr="001D27A7" w:rsidRDefault="00A33AAE" w:rsidP="001D27A7">
            <w:pPr>
              <w:spacing w:line="20" w:lineRule="atLeast"/>
              <w:ind w:left="-108" w:right="-107"/>
              <w:contextualSpacing/>
              <w:rPr>
                <w:rFonts w:eastAsia="Arial Unicode MS" w:cs="Times New Roman"/>
                <w:color w:val="000000"/>
                <w:sz w:val="22"/>
              </w:rPr>
            </w:pPr>
            <w:r w:rsidRPr="0047375B">
              <w:rPr>
                <w:rFonts w:eastAsia="Arial Unicode MS" w:cs="Times New Roman"/>
                <w:color w:val="000000"/>
                <w:sz w:val="22"/>
              </w:rPr>
              <w:t>Методика расчета дотационных средств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A33AAE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  <w:tr w:rsidR="001D27A7" w:rsidRPr="001D27A7" w:rsidTr="0047375B">
        <w:trPr>
          <w:trHeight w:val="70"/>
        </w:trPr>
        <w:tc>
          <w:tcPr>
            <w:tcW w:w="739" w:type="dxa"/>
            <w:shd w:val="clear" w:color="auto" w:fill="auto"/>
          </w:tcPr>
          <w:p w:rsidR="001D27A7" w:rsidRPr="001D27A7" w:rsidRDefault="001D27A7" w:rsidP="001D27A7">
            <w:pPr>
              <w:jc w:val="center"/>
              <w:rPr>
                <w:rFonts w:eastAsia="Calibri" w:cs="Times New Roman"/>
                <w:sz w:val="22"/>
              </w:rPr>
            </w:pPr>
            <w:r w:rsidRPr="001D27A7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2948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Процент</w:t>
            </w:r>
          </w:p>
        </w:tc>
        <w:tc>
          <w:tcPr>
            <w:tcW w:w="5669" w:type="dxa"/>
            <w:shd w:val="clear" w:color="auto" w:fill="auto"/>
          </w:tcPr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</w:t>
            </w:r>
            <w:r w:rsidR="00A33AAE" w:rsidRPr="0047375B">
              <w:rPr>
                <w:sz w:val="22"/>
              </w:rPr>
              <w:t>рудника в 5% по отношению к 2025</w:t>
            </w:r>
            <w:r w:rsidRPr="0047375B">
              <w:rPr>
                <w:sz w:val="22"/>
              </w:rPr>
              <w:t xml:space="preserve">. 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Базовое значение количества посещений парков культуры и отдыха в расч</w:t>
            </w:r>
            <w:r w:rsidR="00A33AAE" w:rsidRPr="0047375B">
              <w:rPr>
                <w:sz w:val="22"/>
              </w:rPr>
              <w:t>ете на одного сотрудника за 2025</w:t>
            </w:r>
            <w:r w:rsidRPr="0047375B">
              <w:rPr>
                <w:sz w:val="22"/>
              </w:rPr>
              <w:t xml:space="preserve"> год (П24, ед.) рассчитывается по следующей формуле:</w:t>
            </w:r>
          </w:p>
          <w:p w:rsidR="001D27A7" w:rsidRPr="0047375B" w:rsidRDefault="00DB780A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П24 = Кп25/ С25</w:t>
            </w:r>
            <w:r w:rsidR="001D27A7" w:rsidRPr="0047375B">
              <w:rPr>
                <w:sz w:val="22"/>
              </w:rPr>
              <w:t xml:space="preserve">, 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где:</w:t>
            </w:r>
          </w:p>
          <w:p w:rsidR="001D27A7" w:rsidRPr="0047375B" w:rsidRDefault="00DB780A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Кп25</w:t>
            </w:r>
            <w:r w:rsidR="001D27A7" w:rsidRPr="0047375B">
              <w:rPr>
                <w:sz w:val="22"/>
              </w:rPr>
              <w:t xml:space="preserve"> – общее количество посещений </w:t>
            </w:r>
            <w:r w:rsidR="00A33AAE" w:rsidRPr="0047375B">
              <w:rPr>
                <w:sz w:val="22"/>
              </w:rPr>
              <w:t>парков культуры и отдыха за 2025</w:t>
            </w:r>
            <w:r w:rsidR="001D27A7" w:rsidRPr="0047375B">
              <w:rPr>
                <w:sz w:val="22"/>
              </w:rPr>
              <w:t xml:space="preserve"> год;</w:t>
            </w:r>
          </w:p>
          <w:p w:rsidR="001D27A7" w:rsidRPr="0047375B" w:rsidRDefault="00DB780A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С25</w:t>
            </w:r>
            <w:r w:rsidR="001D27A7" w:rsidRPr="0047375B">
              <w:rPr>
                <w:sz w:val="22"/>
              </w:rPr>
              <w:t xml:space="preserve"> – общее количество сотрудников парков культуры и </w:t>
            </w:r>
            <w:r w:rsidR="001D27A7" w:rsidRPr="0047375B">
              <w:rPr>
                <w:sz w:val="22"/>
              </w:rPr>
              <w:lastRenderedPageBreak/>
              <w:t>отдыха.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Фактическое значение показателя (ПТ, %) определяется по следующей формуле:</w:t>
            </w:r>
          </w:p>
          <w:p w:rsidR="001D27A7" w:rsidRPr="0047375B" w:rsidRDefault="0047375B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ПТ = Пi/ П25</w:t>
            </w:r>
            <w:r w:rsidR="001D27A7" w:rsidRPr="0047375B">
              <w:rPr>
                <w:sz w:val="22"/>
              </w:rPr>
              <w:t xml:space="preserve">×100 – 100, 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где: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Пi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 xml:space="preserve">Пi = Кпi/Сi, 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 xml:space="preserve">где: 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Кпi – общее количество посещений парков культуры и отдыха за отчетный год;</w:t>
            </w:r>
          </w:p>
          <w:p w:rsidR="001D27A7" w:rsidRPr="0047375B" w:rsidRDefault="001D27A7" w:rsidP="001D27A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2"/>
              </w:rPr>
            </w:pPr>
            <w:r w:rsidRPr="0047375B">
              <w:rPr>
                <w:sz w:val="22"/>
              </w:rPr>
              <w:t>Сi – общее количество сотрудников парков культуры и отдыха.</w:t>
            </w:r>
          </w:p>
        </w:tc>
        <w:tc>
          <w:tcPr>
            <w:tcW w:w="2693" w:type="dxa"/>
          </w:tcPr>
          <w:p w:rsidR="001D27A7" w:rsidRPr="001D27A7" w:rsidRDefault="0047375B" w:rsidP="001D27A7">
            <w:pPr>
              <w:spacing w:line="20" w:lineRule="atLeast"/>
              <w:ind w:left="-108" w:right="-107"/>
              <w:contextualSpacing/>
              <w:rPr>
                <w:rFonts w:eastAsia="Calibri" w:cs="Times New Roman"/>
                <w:sz w:val="22"/>
              </w:rPr>
            </w:pPr>
            <w:r w:rsidRPr="0047375B">
              <w:rPr>
                <w:rFonts w:eastAsia="Arial Unicode MS" w:cs="Times New Roman"/>
                <w:color w:val="000000"/>
                <w:sz w:val="22"/>
              </w:rPr>
              <w:lastRenderedPageBreak/>
              <w:t>Отчетные данные о количестве посещений парков культуры и отдыха на территории городского округа Домодедово в отчетном периоде</w:t>
            </w:r>
          </w:p>
        </w:tc>
        <w:tc>
          <w:tcPr>
            <w:tcW w:w="2128" w:type="dxa"/>
            <w:shd w:val="clear" w:color="auto" w:fill="auto"/>
          </w:tcPr>
          <w:p w:rsidR="001D27A7" w:rsidRPr="001D27A7" w:rsidRDefault="001D27A7" w:rsidP="001D27A7">
            <w:pPr>
              <w:spacing w:line="20" w:lineRule="atLeast"/>
              <w:ind w:left="-109" w:right="-108"/>
              <w:contextualSpacing/>
              <w:jc w:val="center"/>
              <w:rPr>
                <w:rFonts w:eastAsia="Arial Unicode MS" w:cs="Times New Roman"/>
                <w:color w:val="000000"/>
                <w:sz w:val="22"/>
              </w:rPr>
            </w:pPr>
            <w:r w:rsidRPr="001D27A7">
              <w:rPr>
                <w:rFonts w:eastAsia="Arial Unicode MS" w:cs="Times New Roman"/>
                <w:color w:val="000000"/>
                <w:sz w:val="22"/>
              </w:rPr>
              <w:t>Ежегодная</w:t>
            </w:r>
          </w:p>
        </w:tc>
      </w:tr>
    </w:tbl>
    <w:p w:rsidR="00E90C02" w:rsidRDefault="00E90C02"/>
    <w:sectPr w:rsidR="00E90C02" w:rsidSect="002E27ED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81" w:rsidRDefault="00732281" w:rsidP="001D27A7">
      <w:r>
        <w:separator/>
      </w:r>
    </w:p>
  </w:endnote>
  <w:endnote w:type="continuationSeparator" w:id="0">
    <w:p w:rsidR="00732281" w:rsidRDefault="00732281" w:rsidP="001D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81" w:rsidRDefault="00732281" w:rsidP="001D27A7">
      <w:r>
        <w:separator/>
      </w:r>
    </w:p>
  </w:footnote>
  <w:footnote w:type="continuationSeparator" w:id="0">
    <w:p w:rsidR="00732281" w:rsidRDefault="00732281" w:rsidP="001D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15DE"/>
    <w:multiLevelType w:val="multilevel"/>
    <w:tmpl w:val="4AAAA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15"/>
    <w:rsid w:val="00003B5C"/>
    <w:rsid w:val="00077FF6"/>
    <w:rsid w:val="00193CF7"/>
    <w:rsid w:val="001C6383"/>
    <w:rsid w:val="001D27A7"/>
    <w:rsid w:val="002E27ED"/>
    <w:rsid w:val="0047375B"/>
    <w:rsid w:val="00732281"/>
    <w:rsid w:val="00970B86"/>
    <w:rsid w:val="00A33AAE"/>
    <w:rsid w:val="00D076D8"/>
    <w:rsid w:val="00D333EC"/>
    <w:rsid w:val="00D54B8D"/>
    <w:rsid w:val="00DB780A"/>
    <w:rsid w:val="00E90C02"/>
    <w:rsid w:val="00EE1D15"/>
    <w:rsid w:val="00FC005E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B745C-46D2-4772-91B5-77DB27A9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D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7A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2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27A7"/>
    <w:rPr>
      <w:rFonts w:ascii="Times New Roman" w:hAnsi="Times New Roman"/>
      <w:sz w:val="28"/>
    </w:rPr>
  </w:style>
  <w:style w:type="paragraph" w:customStyle="1" w:styleId="ConsPlusNonformat">
    <w:name w:val="ConsPlusNonformat"/>
    <w:rsid w:val="001D2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Е.М.</dc:creator>
  <cp:keywords/>
  <dc:description/>
  <cp:lastModifiedBy>Макарова А.А.</cp:lastModifiedBy>
  <cp:revision>2</cp:revision>
  <dcterms:created xsi:type="dcterms:W3CDTF">2026-01-29T16:38:00Z</dcterms:created>
  <dcterms:modified xsi:type="dcterms:W3CDTF">2026-01-29T16:38:00Z</dcterms:modified>
</cp:coreProperties>
</file>