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3B" w:rsidRPr="00235AF8" w:rsidRDefault="00FA5A3B" w:rsidP="00FA5A3B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235AF8">
        <w:rPr>
          <w:rFonts w:ascii="Times New Roman" w:hAnsi="Times New Roman"/>
          <w:sz w:val="20"/>
        </w:rPr>
        <w:t>Приложение №2</w:t>
      </w:r>
    </w:p>
    <w:p w:rsidR="00FA5A3B" w:rsidRPr="00235AF8" w:rsidRDefault="00FA5A3B" w:rsidP="00FA5A3B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235AF8">
        <w:rPr>
          <w:rFonts w:ascii="Times New Roman" w:hAnsi="Times New Roman"/>
          <w:sz w:val="20"/>
        </w:rPr>
        <w:t>к постановлению администрации</w:t>
      </w:r>
    </w:p>
    <w:p w:rsidR="00FA5A3B" w:rsidRPr="00235AF8" w:rsidRDefault="00FA5A3B" w:rsidP="00FA5A3B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235AF8">
        <w:rPr>
          <w:rFonts w:ascii="Times New Roman" w:hAnsi="Times New Roman"/>
          <w:sz w:val="20"/>
        </w:rPr>
        <w:t>городского округа Домодедово</w:t>
      </w:r>
    </w:p>
    <w:p w:rsidR="00FA5A3B" w:rsidRPr="00235AF8" w:rsidRDefault="00E40F72" w:rsidP="00FA5A3B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29.03.2024 </w:t>
      </w:r>
      <w:r w:rsidR="00FA5A3B" w:rsidRPr="00235AF8">
        <w:rPr>
          <w:rFonts w:ascii="Times New Roman" w:hAnsi="Times New Roman"/>
          <w:sz w:val="20"/>
        </w:rPr>
        <w:t xml:space="preserve">№ </w:t>
      </w:r>
      <w:r>
        <w:rPr>
          <w:rFonts w:ascii="Times New Roman" w:hAnsi="Times New Roman"/>
          <w:sz w:val="20"/>
        </w:rPr>
        <w:t>1473</w:t>
      </w:r>
      <w:bookmarkStart w:id="0" w:name="_GoBack"/>
      <w:bookmarkEnd w:id="0"/>
    </w:p>
    <w:p w:rsidR="00FA5A3B" w:rsidRPr="00F6235E" w:rsidRDefault="00FA5A3B" w:rsidP="00FA5A3B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FA5A3B" w:rsidRDefault="00FA5A3B" w:rsidP="00FA5A3B">
      <w:pPr>
        <w:widowControl w:val="0"/>
        <w:autoSpaceDE w:val="0"/>
        <w:autoSpaceDN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A5A3B" w:rsidRDefault="00FA5A3B" w:rsidP="00FA5A3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A5A3B" w:rsidRPr="00235AF8" w:rsidRDefault="00FA5A3B" w:rsidP="00FA5A3B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5AF8">
        <w:rPr>
          <w:rFonts w:ascii="Times New Roman" w:hAnsi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Домодедово «</w:t>
      </w:r>
      <w:r w:rsidRPr="00235AF8">
        <w:rPr>
          <w:rFonts w:ascii="Times New Roman" w:hAnsi="Times New Roman"/>
          <w:b/>
          <w:bCs/>
          <w:sz w:val="28"/>
          <w:szCs w:val="28"/>
          <w:u w:val="single"/>
        </w:rPr>
        <w:t>Предпринимательство</w:t>
      </w:r>
      <w:r w:rsidRPr="00235AF8">
        <w:rPr>
          <w:rFonts w:ascii="Times New Roman" w:hAnsi="Times New Roman"/>
          <w:b/>
          <w:bCs/>
          <w:sz w:val="28"/>
          <w:szCs w:val="28"/>
        </w:rPr>
        <w:t>»</w:t>
      </w:r>
    </w:p>
    <w:p w:rsidR="00FA5A3B" w:rsidRPr="00235AF8" w:rsidRDefault="00FA5A3B" w:rsidP="00FA5A3B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430"/>
        <w:gridCol w:w="1327"/>
        <w:gridCol w:w="5175"/>
        <w:gridCol w:w="3983"/>
        <w:gridCol w:w="1770"/>
      </w:tblGrid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№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Единица измерения</w:t>
            </w:r>
          </w:p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1.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%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Статистические данные портала Правительства Московской области: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2.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единиц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Регламентные запросы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- </w:t>
            </w:r>
            <w:r w:rsidRPr="00235AF8">
              <w:rPr>
                <w:rFonts w:ascii="Times New Roman" w:hAnsi="Times New Roman"/>
                <w:bCs/>
                <w:sz w:val="18"/>
                <w:szCs w:val="18"/>
              </w:rPr>
              <w:t xml:space="preserve">раздел (060) </w:t>
            </w:r>
            <w:hyperlink r:id="rId4" w:history="1">
              <w:r w:rsidRPr="00235AF8">
                <w:rPr>
                  <w:rFonts w:ascii="Times New Roman" w:hAnsi="Times New Roman"/>
                  <w:bCs/>
                  <w:sz w:val="18"/>
                  <w:szCs w:val="18"/>
                </w:rPr>
                <w:t>Трудовые ресурсы, заработная плата и занятость населения</w:t>
              </w:r>
            </w:hyperlink>
            <w:r w:rsidRPr="00235AF8">
              <w:rPr>
                <w:rFonts w:ascii="Times New Roman" w:hAnsi="Times New Roman"/>
                <w:bCs/>
                <w:sz w:val="18"/>
                <w:szCs w:val="18"/>
              </w:rPr>
              <w:t xml:space="preserve"> - (05100) Сведения о неполной занятости и движении работников (Форма № П-4(НЗ))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3.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Рассчитывается по формуле: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Идн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= Ид / 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Чн</w:t>
            </w:r>
            <w:proofErr w:type="spellEnd"/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Где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Идн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Чн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– численность населения городского округа на 01 января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отчетного года.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trHeight w:val="837"/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единиц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noProof/>
                <w:sz w:val="18"/>
                <w:szCs w:val="18"/>
              </w:rPr>
              <w:drawing>
                <wp:inline distT="0" distB="0" distL="0" distR="0" wp14:anchorId="521EAC8C">
                  <wp:extent cx="981075" cy="480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69" cy="49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где:</w:t>
            </w: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I -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n - доля за достижение результата реализации n-</w:t>
            </w:r>
            <w:proofErr w:type="spellStart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proofErr w:type="spellEnd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мероприятия в отчетном году;</w:t>
            </w:r>
          </w:p>
          <w:p w:rsidR="00FA5A3B" w:rsidRPr="00235AF8" w:rsidRDefault="00FA5A3B" w:rsidP="0023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AF8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C8B3A11" wp14:editId="043F90D2">
                  <wp:extent cx="510972" cy="314325"/>
                  <wp:effectExtent l="0" t="0" r="0" b="0"/>
                  <wp:docPr id="103370660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961" cy="31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AF8">
              <w:rPr>
                <w:rFonts w:ascii="Times New Roman" w:hAnsi="Times New Roman"/>
                <w:sz w:val="18"/>
                <w:szCs w:val="18"/>
              </w:rPr>
              <w:t>- количество мероприятий подпрограммы II.</w:t>
            </w: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мероприятий 2.50.03-50.04, 2.50.06, 2.52.01-2.52.02, при оценке которых наилучшим значением результата является наибольшее значение или плановое значение, доля по итогам достижения результата n-</w:t>
            </w:r>
            <w:proofErr w:type="spellStart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proofErr w:type="spellEnd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мероприятия определяется по следующей формуле:</w:t>
            </w:r>
          </w:p>
          <w:p w:rsidR="00FA5A3B" w:rsidRPr="00235AF8" w:rsidRDefault="00FA5A3B" w:rsidP="00235AF8">
            <w:pPr>
              <w:pStyle w:val="a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pStyle w:val="a3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35AF8">
              <w:rPr>
                <w:rFonts w:cs="Times New Roman"/>
                <w:noProof/>
                <w:position w:val="-31"/>
                <w:sz w:val="18"/>
                <w:szCs w:val="18"/>
                <w:lang w:eastAsia="ru-RU"/>
              </w:rPr>
              <w:drawing>
                <wp:inline distT="0" distB="0" distL="0" distR="0" wp14:anchorId="15A37879" wp14:editId="3B516591">
                  <wp:extent cx="962218" cy="428625"/>
                  <wp:effectExtent l="0" t="0" r="9525" b="0"/>
                  <wp:docPr id="11953158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1" cy="43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где:</w:t>
            </w: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РМфакт</w:t>
            </w:r>
            <w:proofErr w:type="spellEnd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фактическое значение результата n-</w:t>
            </w:r>
            <w:proofErr w:type="spellStart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proofErr w:type="spellEnd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мероприятия;</w:t>
            </w: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РМплан</w:t>
            </w:r>
            <w:proofErr w:type="spellEnd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плановое значение результата n-</w:t>
            </w:r>
            <w:proofErr w:type="spellStart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proofErr w:type="spellEnd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мероприятия, определенное в Программе.</w:t>
            </w: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</w:t>
            </w:r>
            <w:proofErr w:type="spellStart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proofErr w:type="spellEnd"/>
            <w:r w:rsidRPr="00235A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мероприятия определяется по следующей формуле:</w:t>
            </w:r>
          </w:p>
          <w:p w:rsidR="00FA5A3B" w:rsidRPr="00235AF8" w:rsidRDefault="00FA5A3B" w:rsidP="00235AF8">
            <w:pPr>
              <w:pStyle w:val="a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pStyle w:val="a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35AF8">
              <w:rPr>
                <w:rFonts w:cs="Times New Roman"/>
                <w:noProof/>
                <w:position w:val="-30"/>
                <w:sz w:val="18"/>
                <w:szCs w:val="18"/>
                <w:lang w:eastAsia="ru-RU"/>
              </w:rPr>
              <w:drawing>
                <wp:inline distT="0" distB="0" distL="0" distR="0" wp14:anchorId="3CB23A93" wp14:editId="1C7DFD82">
                  <wp:extent cx="990600" cy="447271"/>
                  <wp:effectExtent l="0" t="0" r="0" b="0"/>
                  <wp:docPr id="10632120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34" cy="45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AF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5.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численности работников (без внешних совместителей) всех предприятий и организаций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</m:t>
                </m:r>
              </m:oMath>
            </m:oMathPara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мп+ср</m:t>
                    </m:r>
                  </m:e>
                </m:mr>
              </m:m>
            </m:oMath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– доля среднесписочной численности работников (без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мп+ср</m:t>
                    </m:r>
                  </m:e>
                </m:mr>
              </m:m>
            </m:oMath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sz w:val="18"/>
                      <w:szCs w:val="1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</m:e>
                </m:mr>
              </m:m>
            </m:oMath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e>
                </m:mr>
              </m:m>
            </m:oMath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Федеральное статистическое наблюдение по формам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- № П-4 «Сведения о численности и заработной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плате работников»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br/>
              <w:t>- № 1-Т «Сведения о численности и заработной плате работников»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Число субъектов МСП в расчете на 10 тыс. человек населения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единица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Чнас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×10000</m:t>
                </m:r>
              </m:oMath>
            </m:oMathPara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10000</m:t>
                    </m:r>
                  </m:e>
                </m:mr>
              </m:m>
            </m:oMath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- 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Чсмсп</m:t>
              </m:r>
            </m:oMath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-  число субъектов малого и среднего предпринимательства (включая 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микропредприятия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) – юридических лиц и индивидуальных предпринимателей, единиц;</w:t>
            </w: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Чнас</m:t>
              </m:r>
            </m:oMath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7.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единица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Вновь созданные субъекты малого и среднего бизнеса в городском округе Домодедово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B567E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8.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Ко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= Е</w:t>
            </w:r>
            <w:r w:rsidRPr="00235AF8">
              <w:rPr>
                <w:rFonts w:ascii="Times New Roman" w:eastAsia="Calibri" w:hAnsi="Times New Roman"/>
                <w:sz w:val="18"/>
                <w:szCs w:val="18"/>
                <w:vertAlign w:val="subscript"/>
                <w:lang w:eastAsia="en-US"/>
              </w:rPr>
              <w:t>1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+Е</w:t>
            </w:r>
            <w:r w:rsidRPr="00235AF8">
              <w:rPr>
                <w:rFonts w:ascii="Times New Roman" w:eastAsia="Calibri" w:hAnsi="Times New Roman"/>
                <w:sz w:val="18"/>
                <w:szCs w:val="18"/>
                <w:vertAlign w:val="subscript"/>
                <w:lang w:eastAsia="en-US"/>
              </w:rPr>
              <w:t>2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+Е</w:t>
            </w:r>
            <w:r w:rsidRPr="00235AF8">
              <w:rPr>
                <w:rFonts w:ascii="Times New Roman" w:eastAsia="Calibri" w:hAnsi="Times New Roman"/>
                <w:sz w:val="18"/>
                <w:szCs w:val="18"/>
                <w:vertAlign w:val="subscript"/>
                <w:lang w:val="en-US" w:eastAsia="en-US"/>
              </w:rPr>
              <w:t>n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235AF8">
              <w:rPr>
                <w:rFonts w:ascii="Times New Roman" w:eastAsia="Calibri" w:hAnsi="Times New Roman"/>
                <w:sz w:val="18"/>
                <w:szCs w:val="18"/>
                <w:vertAlign w:val="subscript"/>
                <w:lang w:eastAsia="en-US"/>
              </w:rPr>
              <w:t xml:space="preserve">1, 2, </w:t>
            </w:r>
            <w:r w:rsidRPr="00235AF8">
              <w:rPr>
                <w:rFonts w:ascii="Times New Roman" w:eastAsia="Calibri" w:hAnsi="Times New Roman"/>
                <w:sz w:val="18"/>
                <w:szCs w:val="18"/>
                <w:vertAlign w:val="subscript"/>
                <w:lang w:val="en-US" w:eastAsia="en-US"/>
              </w:rPr>
              <w:t>n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– Объект недвижимого имущества, </w:t>
            </w:r>
            <w:proofErr w:type="gram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предоставленный  городским</w:t>
            </w:r>
            <w:proofErr w:type="gram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округом Домодедово субъектам малого и среднего предпринимательства в рамках оказания имущественной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поддержки либо преференции, шт.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Отдел аренды комитета по управлению имуществом Администрации городского округа Домодедово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A5A3B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фудтрках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вендинговых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автоматах).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AF8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AF8">
              <w:rPr>
                <w:rFonts w:ascii="Times New Roman" w:hAnsi="Times New Roman"/>
                <w:sz w:val="18"/>
                <w:szCs w:val="18"/>
              </w:rPr>
              <w:t>Ко = Е</w:t>
            </w:r>
            <w:r w:rsidRPr="00235AF8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235AF8">
              <w:rPr>
                <w:rFonts w:ascii="Times New Roman" w:hAnsi="Times New Roman"/>
                <w:sz w:val="18"/>
                <w:szCs w:val="18"/>
              </w:rPr>
              <w:t xml:space="preserve"> +Е</w:t>
            </w:r>
            <w:r w:rsidRPr="00235AF8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235AF8">
              <w:rPr>
                <w:rFonts w:ascii="Times New Roman" w:hAnsi="Times New Roman"/>
                <w:sz w:val="18"/>
                <w:szCs w:val="18"/>
              </w:rPr>
              <w:t xml:space="preserve"> +Е</w:t>
            </w:r>
            <w:r w:rsidRPr="00235AF8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AF8">
              <w:rPr>
                <w:rFonts w:ascii="Times New Roman" w:hAnsi="Times New Roman"/>
                <w:sz w:val="18"/>
                <w:szCs w:val="18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35AF8">
              <w:rPr>
                <w:rFonts w:ascii="Times New Roman" w:hAnsi="Times New Roman"/>
                <w:sz w:val="18"/>
                <w:szCs w:val="18"/>
              </w:rPr>
              <w:t>фудтрках</w:t>
            </w:r>
            <w:proofErr w:type="spellEnd"/>
            <w:r w:rsidRPr="00235AF8">
              <w:rPr>
                <w:rFonts w:ascii="Times New Roman" w:hAnsi="Times New Roman"/>
                <w:sz w:val="18"/>
                <w:szCs w:val="18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235AF8">
              <w:rPr>
                <w:rFonts w:ascii="Times New Roman" w:hAnsi="Times New Roman"/>
                <w:sz w:val="18"/>
                <w:szCs w:val="18"/>
              </w:rPr>
              <w:t>вендинговых</w:t>
            </w:r>
            <w:proofErr w:type="spellEnd"/>
            <w:r w:rsidRPr="00235AF8">
              <w:rPr>
                <w:rFonts w:ascii="Times New Roman" w:hAnsi="Times New Roman"/>
                <w:sz w:val="18"/>
                <w:szCs w:val="18"/>
              </w:rPr>
              <w:t xml:space="preserve"> автоматах).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AF8">
              <w:rPr>
                <w:rFonts w:ascii="Times New Roman" w:hAnsi="Times New Roman"/>
                <w:sz w:val="18"/>
                <w:szCs w:val="18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35AF8">
              <w:rPr>
                <w:rFonts w:ascii="Times New Roman" w:hAnsi="Times New Roman"/>
                <w:sz w:val="18"/>
                <w:szCs w:val="18"/>
              </w:rPr>
              <w:t>фудтрках</w:t>
            </w:r>
            <w:proofErr w:type="spellEnd"/>
            <w:r w:rsidRPr="00235AF8">
              <w:rPr>
                <w:rFonts w:ascii="Times New Roman" w:hAnsi="Times New Roman"/>
                <w:sz w:val="18"/>
                <w:szCs w:val="18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235AF8">
              <w:rPr>
                <w:rFonts w:ascii="Times New Roman" w:hAnsi="Times New Roman"/>
                <w:sz w:val="18"/>
                <w:szCs w:val="18"/>
              </w:rPr>
              <w:t>вендинговых</w:t>
            </w:r>
            <w:proofErr w:type="spellEnd"/>
            <w:r w:rsidRPr="00235AF8">
              <w:rPr>
                <w:rFonts w:ascii="Times New Roman" w:hAnsi="Times New Roman"/>
                <w:sz w:val="18"/>
                <w:szCs w:val="18"/>
              </w:rPr>
              <w:t xml:space="preserve"> автоматах).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FA5A3B" w:rsidP="0023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МАУК «Городской парк культуры и отдыха «Ёлочки»</w:t>
            </w: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5A3B" w:rsidRPr="00235AF8" w:rsidRDefault="00FA5A3B" w:rsidP="0023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3B" w:rsidRPr="00235AF8" w:rsidRDefault="00D866AE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A5A3B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10.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Обеспеченность населения площадью торговых объектов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кв. м/ на 1 000 жителей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Оторг = 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1 000 , </m:t>
              </m:r>
            </m:oMath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где: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Оторг</w:t>
            </w:r>
            <w:proofErr w:type="spellEnd"/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 </w:t>
            </w:r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noBreakHyphen/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обеспеченность населения площадью торговых объектов в отчетном периоде;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val="en-US" w:eastAsia="en-US"/>
              </w:rPr>
              <w:t>S</w:t>
            </w:r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торг </w:t>
            </w:r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noBreakHyphen/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площадь торговых объектов предприятий розничной торговли в отчетном периоде, 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кв.м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Чсред</w:t>
            </w:r>
            <w:proofErr w:type="spellEnd"/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 </w:t>
            </w:r>
            <w:r w:rsidRPr="00235AF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noBreakHyphen/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среднегодовая численность постоянного населения в городском округе Домодедово, человек.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Показатель считается нарастающим итогом.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Данные 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Мосстата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о среднегодовой численности населения городского округа Домодедово и отдела потребительского рынка и рекламы Администрации городского округа Домодедово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A5A3B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11.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посадочных мест/ на 1 000 жителей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1 000 , </m:t>
              </m:r>
            </m:oMath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где: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Ооп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Кмп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Чсред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noBreakHyphen/>
              <w:t> среднегодовая численность постоянного населения в городском округе Домодедово, человек.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Показатель считается нарастающим итогом.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Данные 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</w:rPr>
              <w:t>Мосстата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 о среднегодовой численности населения городского округа Домодедово и отдела потребительского рынка и рекламы Администрации городского округа Домодедово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МО на отчетную дату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A5A3B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Обеспеченность населения предприятиями бытового обслуживания</w:t>
            </w: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рабочих мест/ на 1 000 жителей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1 000 ,</m:t>
                </m:r>
              </m:oMath>
            </m:oMathPara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где: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Крм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Чсред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noBreakHyphen/>
              <w:t> среднегодовая численность постоянного населения в городском округе Домодедово, человек.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Показатель считается нарастающим итогом.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235AF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Данные 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Мосстата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 среднегодовой численности населения городского округа Домодедово и отдела потребительского рынка и рекламы </w:t>
            </w:r>
            <w:r w:rsidRPr="00235AF8">
              <w:rPr>
                <w:rFonts w:ascii="Times New Roman" w:eastAsia="Calibri" w:hAnsi="Times New Roman"/>
                <w:sz w:val="18"/>
                <w:szCs w:val="18"/>
              </w:rPr>
              <w:t xml:space="preserve">Администрации городского округа Домодедово </w:t>
            </w: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 количестве рабочих местах на предприятиях бытовых услуг, осуществляющих свою деятельность  на отчетную дату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  <w:tr w:rsidR="00FA5A3B" w:rsidRPr="00235AF8" w:rsidTr="00235AF8">
        <w:trPr>
          <w:jc w:val="center"/>
        </w:trPr>
        <w:tc>
          <w:tcPr>
            <w:tcW w:w="170" w:type="pct"/>
            <w:shd w:val="clear" w:color="auto" w:fill="auto"/>
          </w:tcPr>
          <w:p w:rsidR="00FA5A3B" w:rsidRPr="00235AF8" w:rsidRDefault="00FA5A3B" w:rsidP="00FA5A3B">
            <w:pPr>
              <w:widowControl w:val="0"/>
              <w:tabs>
                <w:tab w:val="left" w:pos="555"/>
              </w:tabs>
              <w:autoSpaceDE w:val="0"/>
              <w:autoSpaceDN w:val="0"/>
              <w:ind w:right="-1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13.</w:t>
            </w:r>
          </w:p>
        </w:tc>
        <w:tc>
          <w:tcPr>
            <w:tcW w:w="799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ind w:righ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70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m:oMath>
              <m:r>
                <w:rPr>
                  <w:rFonts w:ascii="Cambria Math" w:eastAsia="Calibri" w:hAnsi="Cambria Math"/>
                  <w:sz w:val="18"/>
                  <w:szCs w:val="18"/>
                  <w:lang w:eastAsia="en-US"/>
                </w:rPr>
                <m:t>Dзпп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18"/>
                  <w:szCs w:val="1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US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8"/>
                      <w:szCs w:val="18"/>
                      <w:lang w:eastAsia="en-US"/>
                    </w:rPr>
                    <m:t>Ообщий</m:t>
                  </m:r>
                </m:den>
              </m:f>
            </m:oMath>
            <w:proofErr w:type="gram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,*</w:t>
            </w:r>
            <w:proofErr w:type="gram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100%, где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D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зпп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Озпп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– количество обращений, поступивших в администрацию городского округа Домодедово по вопросу защиты прав потребителей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Ообщий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– количество обращений, поступивших в адрес администрации городского округа Домодедово по всем тематикам (письменные обращения, обращения, поступившие по электронной почте, через портал «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Добродел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», МСЭД, ЕЦУР и </w:t>
            </w:r>
            <w:proofErr w:type="spellStart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тп</w:t>
            </w:r>
            <w:proofErr w:type="spellEnd"/>
            <w:r w:rsidRPr="00235A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.)</w:t>
            </w:r>
          </w:p>
          <w:p w:rsidR="00FA5A3B" w:rsidRPr="00235AF8" w:rsidRDefault="00FA5A3B" w:rsidP="00235AF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Показатель считается нарастающим итогом.</w:t>
            </w:r>
          </w:p>
        </w:tc>
        <w:tc>
          <w:tcPr>
            <w:tcW w:w="1310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Данные отдела потребительского рынка и рекламы комитета по управлению имуществом Администрации городского округа Домодедово</w:t>
            </w:r>
          </w:p>
        </w:tc>
        <w:tc>
          <w:tcPr>
            <w:tcW w:w="582" w:type="pct"/>
            <w:shd w:val="clear" w:color="auto" w:fill="auto"/>
          </w:tcPr>
          <w:p w:rsidR="00FA5A3B" w:rsidRPr="00235AF8" w:rsidRDefault="00FA5A3B" w:rsidP="00235AF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5AF8">
              <w:rPr>
                <w:rFonts w:ascii="Times New Roman" w:eastAsia="Calibri" w:hAnsi="Times New Roman"/>
                <w:sz w:val="18"/>
                <w:szCs w:val="18"/>
              </w:rPr>
              <w:t>Годовая</w:t>
            </w:r>
          </w:p>
        </w:tc>
      </w:tr>
    </w:tbl>
    <w:p w:rsidR="00FA5A3B" w:rsidRPr="00235AF8" w:rsidRDefault="00FA5A3B" w:rsidP="00FA5A3B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FFFFFF"/>
          <w:sz w:val="22"/>
          <w:szCs w:val="22"/>
          <w:lang w:eastAsia="en-US"/>
        </w:rPr>
      </w:pPr>
    </w:p>
    <w:p w:rsidR="00FA5A3B" w:rsidRPr="00235AF8" w:rsidRDefault="00FA5A3B" w:rsidP="00FA5A3B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FFFFFF"/>
          <w:sz w:val="22"/>
          <w:szCs w:val="22"/>
          <w:lang w:eastAsia="en-US"/>
        </w:rPr>
      </w:pPr>
    </w:p>
    <w:p w:rsidR="00FA5A3B" w:rsidRPr="00235AF8" w:rsidRDefault="00FA5A3B" w:rsidP="00FA5A3B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FFFFFF"/>
          <w:sz w:val="22"/>
          <w:szCs w:val="22"/>
          <w:lang w:eastAsia="en-US"/>
        </w:rPr>
      </w:pPr>
    </w:p>
    <w:p w:rsidR="00E60C6E" w:rsidRPr="00235AF8" w:rsidRDefault="00E60C6E">
      <w:pPr>
        <w:rPr>
          <w:rFonts w:ascii="Times New Roman" w:hAnsi="Times New Roman"/>
        </w:rPr>
      </w:pPr>
    </w:p>
    <w:sectPr w:rsidR="00E60C6E" w:rsidRPr="00235AF8" w:rsidSect="00C254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8E"/>
    <w:rsid w:val="00235AF8"/>
    <w:rsid w:val="00534CD1"/>
    <w:rsid w:val="009E7F8E"/>
    <w:rsid w:val="00AA6136"/>
    <w:rsid w:val="00C2545E"/>
    <w:rsid w:val="00D866AE"/>
    <w:rsid w:val="00E40F72"/>
    <w:rsid w:val="00E60C6E"/>
    <w:rsid w:val="00F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A0CC"/>
  <w15:chartTrackingRefBased/>
  <w15:docId w15:val="{EC98E3EB-F8FF-40FC-9109-481E918A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3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A5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A5A3B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A5A3B"/>
    <w:pPr>
      <w:suppressAutoHyphens/>
      <w:ind w:left="720"/>
      <w:contextualSpacing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A5A3B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254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10.110.127.115/%D0%A0%D1%83%D0%B1%D1%80%D0%B8%D0%BA%D0%B0%D1%82%D0%BE%D1%80_2021/reglam/html/060.s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Шурыгина Е.С.</dc:creator>
  <cp:keywords/>
  <dc:description/>
  <cp:lastModifiedBy>Макарова А.А.</cp:lastModifiedBy>
  <cp:revision>2</cp:revision>
  <cp:lastPrinted>2024-03-25T12:04:00Z</cp:lastPrinted>
  <dcterms:created xsi:type="dcterms:W3CDTF">2024-04-02T12:09:00Z</dcterms:created>
  <dcterms:modified xsi:type="dcterms:W3CDTF">2024-04-02T12:09:00Z</dcterms:modified>
</cp:coreProperties>
</file>